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A908" w14:textId="77777777" w:rsidR="003E22DE" w:rsidRPr="000A78E9" w:rsidRDefault="003E22DE" w:rsidP="003E22DE">
      <w:pPr>
        <w:pStyle w:val="Berichtsart"/>
        <w:rPr>
          <w:noProof/>
        </w:rPr>
      </w:pPr>
      <w:r>
        <w:rPr>
          <w:noProof/>
        </w:rPr>
        <w:t>Medien</w:t>
      </w:r>
      <w:r w:rsidRPr="000A78E9">
        <w:rPr>
          <w:noProof/>
        </w:rPr>
        <w:t>information</w:t>
      </w:r>
    </w:p>
    <w:p w14:paraId="54677484" w14:textId="5984355D" w:rsidR="003E22DE" w:rsidRDefault="003E22DE" w:rsidP="003E22DE">
      <w:pPr>
        <w:pStyle w:val="Kopfzeile"/>
      </w:pPr>
      <w:r>
        <w:t>Wien, 1</w:t>
      </w:r>
      <w:r w:rsidR="00F54C43">
        <w:t>8</w:t>
      </w:r>
      <w:r w:rsidRPr="00CE6FDD">
        <w:t>.</w:t>
      </w:r>
      <w:r>
        <w:t xml:space="preserve"> Mai</w:t>
      </w:r>
      <w:r w:rsidRPr="00CE6FDD">
        <w:t xml:space="preserve"> 202</w:t>
      </w:r>
      <w:r>
        <w:t>2</w:t>
      </w:r>
    </w:p>
    <w:p w14:paraId="4D04FF30" w14:textId="77777777" w:rsidR="003E22DE" w:rsidRDefault="003E22DE" w:rsidP="00786062">
      <w:pPr>
        <w:spacing w:line="360" w:lineRule="auto"/>
        <w:jc w:val="center"/>
        <w:rPr>
          <w:b/>
          <w:bCs/>
          <w:sz w:val="26"/>
          <w:szCs w:val="26"/>
        </w:rPr>
      </w:pPr>
    </w:p>
    <w:p w14:paraId="20E464FB" w14:textId="14564796" w:rsidR="004C6C53" w:rsidRPr="00A33557" w:rsidRDefault="00DF486C" w:rsidP="00786062">
      <w:pPr>
        <w:spacing w:line="360" w:lineRule="auto"/>
        <w:jc w:val="center"/>
        <w:rPr>
          <w:b/>
          <w:bCs/>
          <w:sz w:val="26"/>
          <w:szCs w:val="26"/>
        </w:rPr>
      </w:pPr>
      <w:r>
        <w:rPr>
          <w:b/>
          <w:bCs/>
          <w:sz w:val="26"/>
          <w:szCs w:val="26"/>
        </w:rPr>
        <w:t>Asset-Management-</w:t>
      </w:r>
      <w:r w:rsidR="00A33557">
        <w:rPr>
          <w:b/>
          <w:bCs/>
          <w:sz w:val="26"/>
          <w:szCs w:val="26"/>
        </w:rPr>
        <w:t>Studie 2022</w:t>
      </w:r>
      <w:r w:rsidR="007266AC" w:rsidRPr="00A33557">
        <w:rPr>
          <w:b/>
          <w:bCs/>
          <w:sz w:val="26"/>
          <w:szCs w:val="26"/>
        </w:rPr>
        <w:t>:</w:t>
      </w:r>
    </w:p>
    <w:p w14:paraId="7502B13F" w14:textId="578204BC" w:rsidR="00720C95" w:rsidRPr="00A33557" w:rsidRDefault="00DF486C" w:rsidP="00786062">
      <w:pPr>
        <w:spacing w:line="360" w:lineRule="auto"/>
        <w:jc w:val="center"/>
        <w:rPr>
          <w:b/>
          <w:bCs/>
          <w:sz w:val="26"/>
          <w:szCs w:val="26"/>
        </w:rPr>
      </w:pPr>
      <w:r>
        <w:rPr>
          <w:b/>
          <w:bCs/>
          <w:sz w:val="26"/>
          <w:szCs w:val="26"/>
        </w:rPr>
        <w:t>N</w:t>
      </w:r>
      <w:r w:rsidR="00836C72">
        <w:rPr>
          <w:b/>
          <w:bCs/>
          <w:sz w:val="26"/>
          <w:szCs w:val="26"/>
        </w:rPr>
        <w:t>ur</w:t>
      </w:r>
      <w:r w:rsidR="001D2888">
        <w:rPr>
          <w:b/>
          <w:bCs/>
          <w:sz w:val="26"/>
          <w:szCs w:val="26"/>
        </w:rPr>
        <w:t xml:space="preserve"> für</w:t>
      </w:r>
      <w:r w:rsidR="00836C72">
        <w:rPr>
          <w:b/>
          <w:bCs/>
          <w:sz w:val="26"/>
          <w:szCs w:val="26"/>
        </w:rPr>
        <w:t xml:space="preserve"> 50 Prozent</w:t>
      </w:r>
      <w:r w:rsidR="001D2888">
        <w:rPr>
          <w:b/>
          <w:bCs/>
          <w:sz w:val="26"/>
          <w:szCs w:val="26"/>
        </w:rPr>
        <w:t xml:space="preserve"> des Portfolios</w:t>
      </w:r>
      <w:r w:rsidR="00836C72">
        <w:rPr>
          <w:b/>
          <w:bCs/>
          <w:sz w:val="26"/>
          <w:szCs w:val="26"/>
        </w:rPr>
        <w:t xml:space="preserve"> </w:t>
      </w:r>
      <w:r w:rsidR="001D2888">
        <w:rPr>
          <w:b/>
          <w:bCs/>
          <w:sz w:val="26"/>
          <w:szCs w:val="26"/>
        </w:rPr>
        <w:t>sind</w:t>
      </w:r>
      <w:r w:rsidR="00836C72">
        <w:rPr>
          <w:b/>
          <w:bCs/>
          <w:sz w:val="26"/>
          <w:szCs w:val="26"/>
        </w:rPr>
        <w:t xml:space="preserve"> ESG-Mindeststandards definiert</w:t>
      </w:r>
    </w:p>
    <w:p w14:paraId="0356A358" w14:textId="77777777" w:rsidR="00720C95" w:rsidRPr="00A33557" w:rsidRDefault="00720C95" w:rsidP="00A3467A">
      <w:pPr>
        <w:rPr>
          <w:rFonts w:asciiTheme="minorHAnsi" w:hAnsiTheme="minorHAnsi" w:cstheme="minorHAnsi"/>
          <w:b/>
          <w:sz w:val="22"/>
          <w:szCs w:val="22"/>
        </w:rPr>
      </w:pPr>
    </w:p>
    <w:p w14:paraId="7D43DCB4" w14:textId="49EBCBD0" w:rsidR="00521C22" w:rsidRPr="00A33557" w:rsidRDefault="00DF486C" w:rsidP="00426F99">
      <w:pPr>
        <w:spacing w:line="276" w:lineRule="auto"/>
        <w:rPr>
          <w:b/>
          <w:bCs/>
          <w:sz w:val="22"/>
          <w:szCs w:val="22"/>
        </w:rPr>
      </w:pPr>
      <w:r>
        <w:rPr>
          <w:b/>
          <w:bCs/>
          <w:sz w:val="22"/>
          <w:szCs w:val="22"/>
        </w:rPr>
        <w:t>Die EU-</w:t>
      </w:r>
      <w:r w:rsidR="003B44FA">
        <w:rPr>
          <w:b/>
          <w:bCs/>
          <w:sz w:val="22"/>
          <w:szCs w:val="22"/>
        </w:rPr>
        <w:t>Taxanomie war 2021 das bestimmende Thema</w:t>
      </w:r>
      <w:r w:rsidR="00811B89" w:rsidRPr="00A33557">
        <w:rPr>
          <w:b/>
          <w:bCs/>
          <w:sz w:val="22"/>
          <w:szCs w:val="22"/>
        </w:rPr>
        <w:t xml:space="preserve"> i</w:t>
      </w:r>
      <w:r w:rsidR="005A4C44" w:rsidRPr="00A33557">
        <w:rPr>
          <w:b/>
          <w:bCs/>
          <w:sz w:val="22"/>
          <w:szCs w:val="22"/>
        </w:rPr>
        <w:t>n der</w:t>
      </w:r>
      <w:r w:rsidR="00811B89" w:rsidRPr="00A33557">
        <w:rPr>
          <w:b/>
          <w:bCs/>
          <w:sz w:val="22"/>
          <w:szCs w:val="22"/>
        </w:rPr>
        <w:t xml:space="preserve"> österreichischen Immobilien</w:t>
      </w:r>
      <w:r w:rsidR="005A4C44" w:rsidRPr="00A33557">
        <w:rPr>
          <w:b/>
          <w:bCs/>
          <w:sz w:val="22"/>
          <w:szCs w:val="22"/>
        </w:rPr>
        <w:t>wirtschaft</w:t>
      </w:r>
      <w:r w:rsidR="003B44FA">
        <w:rPr>
          <w:b/>
          <w:bCs/>
          <w:sz w:val="22"/>
          <w:szCs w:val="22"/>
        </w:rPr>
        <w:t xml:space="preserve">. Eine ESG-Berichtspflicht ist zwar bereits in Kraft, trotzdem </w:t>
      </w:r>
      <w:r w:rsidR="001473C4">
        <w:rPr>
          <w:b/>
          <w:bCs/>
          <w:sz w:val="22"/>
          <w:szCs w:val="22"/>
        </w:rPr>
        <w:t xml:space="preserve">geben </w:t>
      </w:r>
      <w:r w:rsidR="003B44FA">
        <w:rPr>
          <w:b/>
          <w:bCs/>
          <w:sz w:val="22"/>
          <w:szCs w:val="22"/>
        </w:rPr>
        <w:t xml:space="preserve">nur 50 Prozent </w:t>
      </w:r>
      <w:r>
        <w:rPr>
          <w:b/>
          <w:bCs/>
          <w:sz w:val="22"/>
          <w:szCs w:val="22"/>
        </w:rPr>
        <w:t>der Asset-</w:t>
      </w:r>
      <w:r w:rsidR="001473C4">
        <w:rPr>
          <w:b/>
          <w:bCs/>
          <w:sz w:val="22"/>
          <w:szCs w:val="22"/>
        </w:rPr>
        <w:t xml:space="preserve">Manager an, für ihre </w:t>
      </w:r>
      <w:r w:rsidR="001D2888">
        <w:rPr>
          <w:b/>
          <w:bCs/>
          <w:sz w:val="22"/>
          <w:szCs w:val="22"/>
        </w:rPr>
        <w:t>Portfolios Mindeststandards</w:t>
      </w:r>
      <w:r w:rsidR="001473C4">
        <w:rPr>
          <w:b/>
          <w:bCs/>
          <w:sz w:val="22"/>
          <w:szCs w:val="22"/>
        </w:rPr>
        <w:t xml:space="preserve"> für Nachhaltigkeit</w:t>
      </w:r>
      <w:r w:rsidR="001D2888">
        <w:rPr>
          <w:b/>
          <w:bCs/>
          <w:sz w:val="22"/>
          <w:szCs w:val="22"/>
        </w:rPr>
        <w:t xml:space="preserve"> </w:t>
      </w:r>
      <w:r w:rsidR="001473C4">
        <w:rPr>
          <w:b/>
          <w:bCs/>
          <w:sz w:val="22"/>
          <w:szCs w:val="22"/>
        </w:rPr>
        <w:t xml:space="preserve">anzuwenden. </w:t>
      </w:r>
      <w:r w:rsidR="003B44FA">
        <w:rPr>
          <w:rFonts w:asciiTheme="minorHAnsi" w:hAnsiTheme="minorHAnsi" w:cstheme="minorHAnsi"/>
          <w:b/>
          <w:bCs/>
          <w:sz w:val="22"/>
          <w:szCs w:val="22"/>
          <w:lang w:val="de-AT"/>
        </w:rPr>
        <w:t>Zudem hat die Pandemie deutliche Spuren in den Immobilienportfolios der</w:t>
      </w:r>
      <w:r>
        <w:rPr>
          <w:rFonts w:asciiTheme="minorHAnsi" w:hAnsiTheme="minorHAnsi" w:cstheme="minorHAnsi"/>
          <w:b/>
          <w:bCs/>
          <w:sz w:val="22"/>
          <w:szCs w:val="22"/>
          <w:lang w:val="de-AT"/>
        </w:rPr>
        <w:t xml:space="preserve"> österreichischen Asset-</w:t>
      </w:r>
      <w:r w:rsidR="003B44FA">
        <w:rPr>
          <w:rFonts w:asciiTheme="minorHAnsi" w:hAnsiTheme="minorHAnsi" w:cstheme="minorHAnsi"/>
          <w:b/>
          <w:bCs/>
          <w:sz w:val="22"/>
          <w:szCs w:val="22"/>
          <w:lang w:val="de-AT"/>
        </w:rPr>
        <w:t>Manager hinterlassen</w:t>
      </w:r>
      <w:r w:rsidR="00521C22" w:rsidRPr="00A33557">
        <w:rPr>
          <w:b/>
          <w:bCs/>
          <w:sz w:val="22"/>
          <w:szCs w:val="22"/>
        </w:rPr>
        <w:t>.</w:t>
      </w:r>
    </w:p>
    <w:p w14:paraId="2F76E572" w14:textId="77777777" w:rsidR="00E908BC" w:rsidRPr="003B5EAB" w:rsidRDefault="00E908BC" w:rsidP="00426F99">
      <w:pPr>
        <w:spacing w:line="276" w:lineRule="auto"/>
        <w:rPr>
          <w:bCs/>
          <w:sz w:val="22"/>
          <w:szCs w:val="22"/>
          <w:lang w:val="de-AT"/>
        </w:rPr>
      </w:pPr>
    </w:p>
    <w:p w14:paraId="7F4D0A38" w14:textId="09D05EDD" w:rsidR="003B5EAB" w:rsidRPr="00A33557" w:rsidRDefault="003B44FA" w:rsidP="00426F99">
      <w:pPr>
        <w:spacing w:line="276" w:lineRule="auto"/>
        <w:rPr>
          <w:sz w:val="22"/>
          <w:szCs w:val="22"/>
        </w:rPr>
      </w:pPr>
      <w:r w:rsidRPr="003B5EAB">
        <w:rPr>
          <w:sz w:val="22"/>
          <w:szCs w:val="22"/>
          <w:lang w:val="de-AT"/>
        </w:rPr>
        <w:t>D</w:t>
      </w:r>
      <w:r w:rsidR="003B5EAB">
        <w:rPr>
          <w:sz w:val="22"/>
          <w:szCs w:val="22"/>
          <w:lang w:val="de-AT"/>
        </w:rPr>
        <w:t>ie drei größten Assetklassen bl</w:t>
      </w:r>
      <w:r w:rsidRPr="003B5EAB">
        <w:rPr>
          <w:sz w:val="22"/>
          <w:szCs w:val="22"/>
          <w:lang w:val="de-AT"/>
        </w:rPr>
        <w:t>i</w:t>
      </w:r>
      <w:r w:rsidR="003B5EAB">
        <w:rPr>
          <w:sz w:val="22"/>
          <w:szCs w:val="22"/>
          <w:lang w:val="de-AT"/>
        </w:rPr>
        <w:t>e</w:t>
      </w:r>
      <w:r w:rsidRPr="003B5EAB">
        <w:rPr>
          <w:sz w:val="22"/>
          <w:szCs w:val="22"/>
          <w:lang w:val="de-AT"/>
        </w:rPr>
        <w:t xml:space="preserve">ben </w:t>
      </w:r>
      <w:r w:rsidR="003B5EAB">
        <w:rPr>
          <w:sz w:val="22"/>
          <w:szCs w:val="22"/>
          <w:lang w:val="de-AT"/>
        </w:rPr>
        <w:t xml:space="preserve">2021 </w:t>
      </w:r>
      <w:r w:rsidRPr="003B5EAB">
        <w:rPr>
          <w:sz w:val="22"/>
          <w:szCs w:val="22"/>
          <w:lang w:val="de-AT"/>
        </w:rPr>
        <w:t>wie in den Vorjahren unverändert Wohnen (</w:t>
      </w:r>
      <w:r w:rsidR="00470EF4" w:rsidRPr="003B5EAB">
        <w:rPr>
          <w:sz w:val="22"/>
          <w:szCs w:val="22"/>
          <w:lang w:val="de-AT"/>
        </w:rPr>
        <w:t>35</w:t>
      </w:r>
      <w:r w:rsidR="00DF486C">
        <w:rPr>
          <w:sz w:val="22"/>
          <w:szCs w:val="22"/>
          <w:lang w:val="de-AT"/>
        </w:rPr>
        <w:t xml:space="preserve"> </w:t>
      </w:r>
      <w:r w:rsidR="00470EF4" w:rsidRPr="003B5EAB">
        <w:rPr>
          <w:sz w:val="22"/>
          <w:szCs w:val="22"/>
          <w:lang w:val="de-AT"/>
        </w:rPr>
        <w:t>%), Büro (32</w:t>
      </w:r>
      <w:r w:rsidR="00DF486C">
        <w:rPr>
          <w:sz w:val="22"/>
          <w:szCs w:val="22"/>
          <w:lang w:val="de-AT"/>
        </w:rPr>
        <w:t xml:space="preserve"> </w:t>
      </w:r>
      <w:r w:rsidR="00470EF4" w:rsidRPr="003B5EAB">
        <w:rPr>
          <w:sz w:val="22"/>
          <w:szCs w:val="22"/>
          <w:lang w:val="de-AT"/>
        </w:rPr>
        <w:t>%) und Retail (11</w:t>
      </w:r>
      <w:r w:rsidR="00DF486C">
        <w:rPr>
          <w:sz w:val="22"/>
          <w:szCs w:val="22"/>
          <w:lang w:val="de-AT"/>
        </w:rPr>
        <w:t xml:space="preserve"> </w:t>
      </w:r>
      <w:r w:rsidR="00470EF4" w:rsidRPr="003B5EAB">
        <w:rPr>
          <w:sz w:val="22"/>
          <w:szCs w:val="22"/>
          <w:lang w:val="de-AT"/>
        </w:rPr>
        <w:t>%)</w:t>
      </w:r>
      <w:r w:rsidR="00426F99">
        <w:rPr>
          <w:sz w:val="22"/>
          <w:szCs w:val="22"/>
          <w:lang w:val="de-AT"/>
        </w:rPr>
        <w:t>, trotzdem hat die Pandemie in den Portfolios zu markanten Veränderungen geführt</w:t>
      </w:r>
      <w:r w:rsidR="003B5EAB">
        <w:rPr>
          <w:sz w:val="22"/>
          <w:szCs w:val="22"/>
          <w:lang w:val="de-AT"/>
        </w:rPr>
        <w:t xml:space="preserve">. Das zeigt die </w:t>
      </w:r>
      <w:r w:rsidR="003B5EAB" w:rsidRPr="003B5EAB">
        <w:rPr>
          <w:sz w:val="22"/>
          <w:szCs w:val="22"/>
          <w:lang w:val="de-AT"/>
        </w:rPr>
        <w:t>neue Trendstudie „Real Estate Asset Management in Österreich 2022</w:t>
      </w:r>
      <w:r w:rsidR="003B5EAB" w:rsidRPr="00623027">
        <w:rPr>
          <w:sz w:val="22"/>
          <w:szCs w:val="22"/>
          <w:lang w:val="de-AT"/>
        </w:rPr>
        <w:t xml:space="preserve">“ von </w:t>
      </w:r>
      <w:r w:rsidR="00623027" w:rsidRPr="00623027">
        <w:rPr>
          <w:sz w:val="22"/>
          <w:szCs w:val="22"/>
          <w:lang w:val="de-AT"/>
        </w:rPr>
        <w:t xml:space="preserve">den Kooperationspartnern PwC Österreich und </w:t>
      </w:r>
      <w:r w:rsidR="003B5EAB" w:rsidRPr="00623027">
        <w:rPr>
          <w:rFonts w:asciiTheme="minorHAnsi" w:hAnsiTheme="minorHAnsi" w:cstheme="minorHAnsi"/>
          <w:bCs/>
          <w:sz w:val="22"/>
          <w:szCs w:val="22"/>
          <w:lang w:val="de-AT"/>
        </w:rPr>
        <w:t>Drees &amp; Sommer</w:t>
      </w:r>
      <w:r w:rsidR="00623027" w:rsidRPr="00623027">
        <w:rPr>
          <w:rFonts w:asciiTheme="minorHAnsi" w:hAnsiTheme="minorHAnsi" w:cstheme="minorHAnsi"/>
          <w:bCs/>
          <w:sz w:val="22"/>
          <w:szCs w:val="22"/>
          <w:lang w:val="de-AT"/>
        </w:rPr>
        <w:t xml:space="preserve"> Österreich sowie den unterstützenden Verbänden </w:t>
      </w:r>
      <w:r w:rsidR="003B5EAB" w:rsidRPr="00623027">
        <w:rPr>
          <w:rFonts w:asciiTheme="minorHAnsi" w:hAnsiTheme="minorHAnsi" w:cstheme="minorHAnsi"/>
          <w:bCs/>
          <w:sz w:val="22"/>
          <w:szCs w:val="22"/>
          <w:lang w:val="de-AT"/>
        </w:rPr>
        <w:t>AREAMA, ÖVI und RICS</w:t>
      </w:r>
      <w:r w:rsidR="00470EF4" w:rsidRPr="00623027">
        <w:rPr>
          <w:sz w:val="22"/>
          <w:szCs w:val="22"/>
          <w:lang w:val="de-AT"/>
        </w:rPr>
        <w:t xml:space="preserve">. </w:t>
      </w:r>
      <w:r w:rsidR="003B5EAB" w:rsidRPr="00623027">
        <w:rPr>
          <w:sz w:val="22"/>
          <w:szCs w:val="22"/>
        </w:rPr>
        <w:t>Im</w:t>
      </w:r>
      <w:r w:rsidR="003B5EAB">
        <w:rPr>
          <w:sz w:val="22"/>
          <w:szCs w:val="22"/>
        </w:rPr>
        <w:t xml:space="preserve"> Zeitraum von November 2021</w:t>
      </w:r>
      <w:r w:rsidR="003B5EAB" w:rsidRPr="00A33557">
        <w:rPr>
          <w:sz w:val="22"/>
          <w:szCs w:val="22"/>
        </w:rPr>
        <w:t xml:space="preserve"> bis </w:t>
      </w:r>
      <w:r w:rsidR="003B5EAB">
        <w:rPr>
          <w:sz w:val="22"/>
          <w:szCs w:val="22"/>
        </w:rPr>
        <w:t>Februa</w:t>
      </w:r>
      <w:r w:rsidR="003B5EAB" w:rsidRPr="00A33557">
        <w:rPr>
          <w:sz w:val="22"/>
          <w:szCs w:val="22"/>
        </w:rPr>
        <w:t>r 202</w:t>
      </w:r>
      <w:r w:rsidR="003B5EAB">
        <w:rPr>
          <w:sz w:val="22"/>
          <w:szCs w:val="22"/>
        </w:rPr>
        <w:t>2</w:t>
      </w:r>
      <w:r w:rsidR="003B5EAB" w:rsidRPr="00A33557">
        <w:rPr>
          <w:sz w:val="22"/>
          <w:szCs w:val="22"/>
        </w:rPr>
        <w:t xml:space="preserve"> wurden</w:t>
      </w:r>
      <w:r w:rsidR="003B5EAB">
        <w:rPr>
          <w:sz w:val="22"/>
          <w:szCs w:val="22"/>
        </w:rPr>
        <w:t xml:space="preserve"> </w:t>
      </w:r>
      <w:r w:rsidR="00623027">
        <w:rPr>
          <w:sz w:val="22"/>
          <w:szCs w:val="22"/>
        </w:rPr>
        <w:t>für die Studie</w:t>
      </w:r>
      <w:r w:rsidR="003B5EAB" w:rsidRPr="00A33557">
        <w:rPr>
          <w:sz w:val="22"/>
          <w:szCs w:val="22"/>
        </w:rPr>
        <w:t xml:space="preserve"> rund </w:t>
      </w:r>
      <w:r w:rsidR="003B5EAB">
        <w:rPr>
          <w:sz w:val="22"/>
          <w:szCs w:val="22"/>
        </w:rPr>
        <w:t>30</w:t>
      </w:r>
      <w:r w:rsidR="00DF486C">
        <w:rPr>
          <w:sz w:val="22"/>
          <w:szCs w:val="22"/>
        </w:rPr>
        <w:t>0 Immobilien- und Asset-</w:t>
      </w:r>
      <w:r w:rsidR="003B5EAB" w:rsidRPr="00A33557">
        <w:rPr>
          <w:sz w:val="22"/>
          <w:szCs w:val="22"/>
        </w:rPr>
        <w:t>Manager eingeladen, mittels eines gemeinsam von RICS und ÖVI entwickelten Online-Fragebogens den aktuellen Entwicklungsst</w:t>
      </w:r>
      <w:r w:rsidR="00DF486C">
        <w:rPr>
          <w:sz w:val="22"/>
          <w:szCs w:val="22"/>
        </w:rPr>
        <w:t>and zum Thema Real Estate Asset-</w:t>
      </w:r>
      <w:r w:rsidR="003B5EAB" w:rsidRPr="00A33557">
        <w:rPr>
          <w:sz w:val="22"/>
          <w:szCs w:val="22"/>
        </w:rPr>
        <w:t>Management in Österreich abzugeben.</w:t>
      </w:r>
    </w:p>
    <w:p w14:paraId="498E154F" w14:textId="77777777" w:rsidR="003B5EAB" w:rsidRDefault="003B5EAB" w:rsidP="00426F99">
      <w:pPr>
        <w:spacing w:line="276" w:lineRule="auto"/>
        <w:rPr>
          <w:sz w:val="22"/>
          <w:szCs w:val="22"/>
          <w:lang w:val="de-AT"/>
        </w:rPr>
      </w:pPr>
    </w:p>
    <w:p w14:paraId="6AD4410D" w14:textId="77777777" w:rsidR="00426F99" w:rsidRPr="00426F99" w:rsidRDefault="00426F99" w:rsidP="00426F99">
      <w:pPr>
        <w:spacing w:line="276" w:lineRule="auto"/>
        <w:rPr>
          <w:b/>
          <w:sz w:val="22"/>
          <w:szCs w:val="22"/>
          <w:lang w:val="de-AT"/>
        </w:rPr>
      </w:pPr>
      <w:r w:rsidRPr="00426F99">
        <w:rPr>
          <w:b/>
          <w:sz w:val="22"/>
          <w:szCs w:val="22"/>
          <w:lang w:val="de-AT"/>
        </w:rPr>
        <w:t>Anstieg bei „Logistik und Industrie“</w:t>
      </w:r>
    </w:p>
    <w:p w14:paraId="6BD08941" w14:textId="424A34AC" w:rsidR="003B44FA" w:rsidRDefault="00470EF4" w:rsidP="00426F99">
      <w:pPr>
        <w:spacing w:line="276" w:lineRule="auto"/>
        <w:rPr>
          <w:sz w:val="22"/>
          <w:szCs w:val="22"/>
          <w:lang w:val="de-AT"/>
        </w:rPr>
      </w:pPr>
      <w:r>
        <w:rPr>
          <w:sz w:val="22"/>
          <w:szCs w:val="22"/>
          <w:lang w:val="de-AT"/>
        </w:rPr>
        <w:t xml:space="preserve">War die Assetklasse Hotel im Jahr 2020 noch im Ranking auf dem vierten Platz gelegen, wurde sie 2021 von Logistik, Industrie und </w:t>
      </w:r>
      <w:proofErr w:type="spellStart"/>
      <w:r w:rsidRPr="00DF486C">
        <w:rPr>
          <w:sz w:val="22"/>
          <w:szCs w:val="22"/>
          <w:lang w:val="de-AT"/>
        </w:rPr>
        <w:t>Service</w:t>
      </w:r>
      <w:r w:rsidR="00DF486C">
        <w:rPr>
          <w:sz w:val="22"/>
          <w:szCs w:val="22"/>
          <w:lang w:val="de-AT"/>
        </w:rPr>
        <w:t>d</w:t>
      </w:r>
      <w:proofErr w:type="spellEnd"/>
      <w:r w:rsidR="00DF486C">
        <w:rPr>
          <w:sz w:val="22"/>
          <w:szCs w:val="22"/>
          <w:lang w:val="de-AT"/>
        </w:rPr>
        <w:t xml:space="preserve"> </w:t>
      </w:r>
      <w:r>
        <w:rPr>
          <w:sz w:val="22"/>
          <w:szCs w:val="22"/>
          <w:lang w:val="de-AT"/>
        </w:rPr>
        <w:t>Appart</w:t>
      </w:r>
      <w:r w:rsidR="003B5EAB">
        <w:rPr>
          <w:sz w:val="22"/>
          <w:szCs w:val="22"/>
          <w:lang w:val="de-AT"/>
        </w:rPr>
        <w:t>e</w:t>
      </w:r>
      <w:r>
        <w:rPr>
          <w:sz w:val="22"/>
          <w:szCs w:val="22"/>
          <w:lang w:val="de-AT"/>
        </w:rPr>
        <w:t xml:space="preserve">ments überholt. Die Assetklassen Logistik und Industrie sind </w:t>
      </w:r>
      <w:r w:rsidR="003B5EAB">
        <w:rPr>
          <w:sz w:val="22"/>
          <w:szCs w:val="22"/>
          <w:lang w:val="de-AT"/>
        </w:rPr>
        <w:t xml:space="preserve">zusammen </w:t>
      </w:r>
      <w:r>
        <w:rPr>
          <w:sz w:val="22"/>
          <w:szCs w:val="22"/>
          <w:lang w:val="de-AT"/>
        </w:rPr>
        <w:t xml:space="preserve">auf nunmehr neun Prozent </w:t>
      </w:r>
      <w:r w:rsidR="00171EB2">
        <w:rPr>
          <w:sz w:val="22"/>
          <w:szCs w:val="22"/>
          <w:lang w:val="de-AT"/>
        </w:rPr>
        <w:t xml:space="preserve">Portfolioanteil </w:t>
      </w:r>
      <w:r>
        <w:rPr>
          <w:sz w:val="22"/>
          <w:szCs w:val="22"/>
          <w:lang w:val="de-AT"/>
        </w:rPr>
        <w:t>angew</w:t>
      </w:r>
      <w:r w:rsidR="003B5EAB">
        <w:rPr>
          <w:sz w:val="22"/>
          <w:szCs w:val="22"/>
          <w:lang w:val="de-AT"/>
        </w:rPr>
        <w:t>ach</w:t>
      </w:r>
      <w:r>
        <w:rPr>
          <w:sz w:val="22"/>
          <w:szCs w:val="22"/>
          <w:lang w:val="de-AT"/>
        </w:rPr>
        <w:t>sen, die Assetklasse Wohnen verzeichnete hingegen einen Rückgang von 43 auf 35 Prozent.</w:t>
      </w:r>
      <w:r w:rsidR="003B5EAB">
        <w:rPr>
          <w:sz w:val="22"/>
          <w:szCs w:val="22"/>
          <w:lang w:val="de-AT"/>
        </w:rPr>
        <w:t xml:space="preserve"> Bei den prognostizierten Änderungen in den kommenden 24 Monaten fällt auf, dass „Büro“ den zweiten Platz bei der positiven Veränderung des Portfolios einnimmt. „Hotel“ wird als weiter rückläufig eingeschätzt.</w:t>
      </w:r>
    </w:p>
    <w:p w14:paraId="3A2E746E" w14:textId="77777777" w:rsidR="00426F99" w:rsidRPr="00A33557" w:rsidRDefault="00426F99" w:rsidP="00426F99">
      <w:pPr>
        <w:spacing w:line="276" w:lineRule="auto"/>
        <w:rPr>
          <w:sz w:val="22"/>
          <w:szCs w:val="22"/>
        </w:rPr>
      </w:pPr>
    </w:p>
    <w:p w14:paraId="23357681" w14:textId="77777777" w:rsidR="00385B49" w:rsidRPr="00385B49" w:rsidRDefault="00385B49" w:rsidP="00385B49">
      <w:pPr>
        <w:spacing w:line="276" w:lineRule="auto"/>
        <w:rPr>
          <w:b/>
          <w:bCs/>
          <w:sz w:val="22"/>
          <w:szCs w:val="22"/>
        </w:rPr>
      </w:pPr>
      <w:r w:rsidRPr="00385B49">
        <w:rPr>
          <w:b/>
          <w:bCs/>
          <w:sz w:val="22"/>
          <w:szCs w:val="22"/>
        </w:rPr>
        <w:t>50 Prozent mit ESG-Mindeststandards</w:t>
      </w:r>
    </w:p>
    <w:p w14:paraId="551004D5" w14:textId="3AB97695" w:rsidR="00853BD9" w:rsidRDefault="00426F99" w:rsidP="00426F99">
      <w:pPr>
        <w:spacing w:line="276" w:lineRule="auto"/>
        <w:rPr>
          <w:bCs/>
          <w:sz w:val="22"/>
          <w:szCs w:val="22"/>
        </w:rPr>
      </w:pPr>
      <w:r w:rsidRPr="00426F99">
        <w:rPr>
          <w:bCs/>
          <w:sz w:val="22"/>
          <w:szCs w:val="22"/>
        </w:rPr>
        <w:t xml:space="preserve">Besonders geprägt war das vergangene Jahr neben den Auswirkungen der Pandemie durch die Entwicklungen rund um </w:t>
      </w:r>
      <w:r w:rsidR="00385B49">
        <w:rPr>
          <w:bCs/>
          <w:sz w:val="22"/>
          <w:szCs w:val="22"/>
        </w:rPr>
        <w:t>das Thema „E</w:t>
      </w:r>
      <w:r w:rsidRPr="00426F99">
        <w:rPr>
          <w:bCs/>
          <w:sz w:val="22"/>
          <w:szCs w:val="22"/>
        </w:rPr>
        <w:t>SG</w:t>
      </w:r>
      <w:r w:rsidR="00385B49">
        <w:rPr>
          <w:bCs/>
          <w:sz w:val="22"/>
          <w:szCs w:val="22"/>
        </w:rPr>
        <w:t>“</w:t>
      </w:r>
      <w:r w:rsidRPr="00426F99">
        <w:rPr>
          <w:bCs/>
          <w:sz w:val="22"/>
          <w:szCs w:val="22"/>
        </w:rPr>
        <w:t xml:space="preserve"> sowie die Einhaltung der Offenlegungs</w:t>
      </w:r>
      <w:r w:rsidR="00385B49">
        <w:rPr>
          <w:bCs/>
          <w:sz w:val="22"/>
          <w:szCs w:val="22"/>
        </w:rPr>
        <w:t>-</w:t>
      </w:r>
      <w:r w:rsidRPr="00426F99">
        <w:rPr>
          <w:bCs/>
          <w:sz w:val="22"/>
          <w:szCs w:val="22"/>
        </w:rPr>
        <w:t xml:space="preserve"> und die EU-Taxonomie-Verordnung.</w:t>
      </w:r>
      <w:r>
        <w:rPr>
          <w:bCs/>
          <w:sz w:val="22"/>
          <w:szCs w:val="22"/>
        </w:rPr>
        <w:t xml:space="preserve"> </w:t>
      </w:r>
      <w:r w:rsidR="00853BD9">
        <w:rPr>
          <w:bCs/>
          <w:sz w:val="22"/>
          <w:szCs w:val="22"/>
        </w:rPr>
        <w:t xml:space="preserve">Waren im vergangenen Jahr noch rund 75 Prozent der Befragten der Ansicht, dass sich die Immobilienwirtschaft als Ganzes zu wenig mit dem Thema Nachhaltigkeit auseinandersetzt, sind es heuer 62 Prozent. „Diese Veränderung ist mit Sicherheit mit der nun verpflichtenden Einhaltung der EU-Taxonomie-Verordnung in </w:t>
      </w:r>
      <w:r w:rsidR="00853BD9">
        <w:rPr>
          <w:bCs/>
          <w:sz w:val="22"/>
          <w:szCs w:val="22"/>
        </w:rPr>
        <w:lastRenderedPageBreak/>
        <w:t xml:space="preserve">Zusammenhang zu bringen, die eine intensive Auseinandersetzung mit Klimaschutz und Nachhaltigkeit vorschreibt“, erklärt </w:t>
      </w:r>
      <w:r w:rsidR="001D2888">
        <w:rPr>
          <w:bCs/>
          <w:sz w:val="22"/>
          <w:szCs w:val="22"/>
        </w:rPr>
        <w:t xml:space="preserve">Studienautor Georg Stadlhofer, Geschäftsführer des </w:t>
      </w:r>
      <w:r w:rsidR="001473C4" w:rsidRPr="001473C4">
        <w:rPr>
          <w:bCs/>
          <w:sz w:val="22"/>
          <w:szCs w:val="22"/>
        </w:rPr>
        <w:t xml:space="preserve">Beratungs-, Planungs- und Projektmanagementunternehmens </w:t>
      </w:r>
      <w:r w:rsidR="001D2888">
        <w:rPr>
          <w:bCs/>
          <w:sz w:val="22"/>
          <w:szCs w:val="22"/>
        </w:rPr>
        <w:t>Drees &amp; Sommer</w:t>
      </w:r>
      <w:r w:rsidR="00623027">
        <w:rPr>
          <w:bCs/>
          <w:sz w:val="22"/>
          <w:szCs w:val="22"/>
        </w:rPr>
        <w:t xml:space="preserve"> in Österreich</w:t>
      </w:r>
      <w:r w:rsidR="001D2888">
        <w:rPr>
          <w:bCs/>
          <w:sz w:val="22"/>
          <w:szCs w:val="22"/>
        </w:rPr>
        <w:t>.</w:t>
      </w:r>
    </w:p>
    <w:p w14:paraId="629654A4" w14:textId="1A1EB15F" w:rsidR="00426F99" w:rsidRDefault="00426F99" w:rsidP="00426F99">
      <w:pPr>
        <w:spacing w:line="276" w:lineRule="auto"/>
        <w:rPr>
          <w:bCs/>
          <w:sz w:val="22"/>
          <w:szCs w:val="22"/>
        </w:rPr>
      </w:pPr>
      <w:r>
        <w:rPr>
          <w:bCs/>
          <w:sz w:val="22"/>
          <w:szCs w:val="22"/>
        </w:rPr>
        <w:t xml:space="preserve">Obwohl bereits eine ESG-Berichtspflicht in Kraft ist, </w:t>
      </w:r>
      <w:r w:rsidR="001D2888">
        <w:rPr>
          <w:bCs/>
          <w:sz w:val="22"/>
          <w:szCs w:val="22"/>
        </w:rPr>
        <w:t>sind für</w:t>
      </w:r>
      <w:r>
        <w:rPr>
          <w:bCs/>
          <w:sz w:val="22"/>
          <w:szCs w:val="22"/>
        </w:rPr>
        <w:t xml:space="preserve"> nur 50 Prozent der </w:t>
      </w:r>
      <w:r w:rsidR="00DF486C">
        <w:rPr>
          <w:bCs/>
          <w:sz w:val="22"/>
          <w:szCs w:val="22"/>
        </w:rPr>
        <w:t>Portfolios</w:t>
      </w:r>
      <w:r>
        <w:rPr>
          <w:bCs/>
          <w:sz w:val="22"/>
          <w:szCs w:val="22"/>
        </w:rPr>
        <w:t xml:space="preserve"> </w:t>
      </w:r>
      <w:r w:rsidR="001D2888">
        <w:rPr>
          <w:bCs/>
          <w:sz w:val="22"/>
          <w:szCs w:val="22"/>
        </w:rPr>
        <w:t>ESG-</w:t>
      </w:r>
      <w:r>
        <w:rPr>
          <w:bCs/>
          <w:sz w:val="22"/>
          <w:szCs w:val="22"/>
        </w:rPr>
        <w:t xml:space="preserve">Mindeststandards </w:t>
      </w:r>
      <w:r w:rsidR="001D2888">
        <w:rPr>
          <w:bCs/>
          <w:sz w:val="22"/>
          <w:szCs w:val="22"/>
        </w:rPr>
        <w:t>definiert</w:t>
      </w:r>
      <w:r>
        <w:rPr>
          <w:bCs/>
          <w:sz w:val="22"/>
          <w:szCs w:val="22"/>
        </w:rPr>
        <w:t>.</w:t>
      </w:r>
      <w:r w:rsidR="00853BD9">
        <w:rPr>
          <w:bCs/>
          <w:sz w:val="22"/>
          <w:szCs w:val="22"/>
        </w:rPr>
        <w:t xml:space="preserve"> Davon entfallen 41 Prozent auf</w:t>
      </w:r>
      <w:r>
        <w:rPr>
          <w:bCs/>
          <w:sz w:val="22"/>
          <w:szCs w:val="22"/>
        </w:rPr>
        <w:t xml:space="preserve"> </w:t>
      </w:r>
      <w:proofErr w:type="spellStart"/>
      <w:r w:rsidR="001D2888">
        <w:rPr>
          <w:bCs/>
          <w:sz w:val="22"/>
          <w:szCs w:val="22"/>
        </w:rPr>
        <w:t>klima:aktiv</w:t>
      </w:r>
      <w:proofErr w:type="spellEnd"/>
      <w:r w:rsidR="001D2888">
        <w:rPr>
          <w:bCs/>
          <w:sz w:val="22"/>
          <w:szCs w:val="22"/>
        </w:rPr>
        <w:t xml:space="preserve">, 27 Prozent auf </w:t>
      </w:r>
      <w:r w:rsidR="00171EB2">
        <w:rPr>
          <w:bCs/>
          <w:sz w:val="22"/>
          <w:szCs w:val="22"/>
        </w:rPr>
        <w:t>interne Mindeststandards und je</w:t>
      </w:r>
      <w:r w:rsidR="001D2888">
        <w:rPr>
          <w:bCs/>
          <w:sz w:val="22"/>
          <w:szCs w:val="22"/>
        </w:rPr>
        <w:t xml:space="preserve">weils 14 Prozent auf das Zertifizierungssystem ÖGNI und die EU-Taxonomie-Konformität. </w:t>
      </w:r>
      <w:r>
        <w:rPr>
          <w:bCs/>
          <w:sz w:val="22"/>
          <w:szCs w:val="22"/>
        </w:rPr>
        <w:t>„Diese Ziffer</w:t>
      </w:r>
      <w:r w:rsidR="001D2888">
        <w:rPr>
          <w:bCs/>
          <w:sz w:val="22"/>
          <w:szCs w:val="22"/>
        </w:rPr>
        <w:t>n</w:t>
      </w:r>
      <w:r>
        <w:rPr>
          <w:bCs/>
          <w:sz w:val="22"/>
          <w:szCs w:val="22"/>
        </w:rPr>
        <w:t xml:space="preserve"> ha</w:t>
      </w:r>
      <w:r w:rsidR="001D2888">
        <w:rPr>
          <w:bCs/>
          <w:sz w:val="22"/>
          <w:szCs w:val="22"/>
        </w:rPr>
        <w:t>ben</w:t>
      </w:r>
      <w:r>
        <w:rPr>
          <w:bCs/>
          <w:sz w:val="22"/>
          <w:szCs w:val="22"/>
        </w:rPr>
        <w:t xml:space="preserve"> mich in der Erhebung überrascht“, erklärt </w:t>
      </w:r>
      <w:r w:rsidR="00385B49">
        <w:rPr>
          <w:bCs/>
          <w:sz w:val="22"/>
          <w:szCs w:val="22"/>
        </w:rPr>
        <w:t>Stadlhofer</w:t>
      </w:r>
      <w:r>
        <w:rPr>
          <w:bCs/>
          <w:sz w:val="22"/>
          <w:szCs w:val="22"/>
        </w:rPr>
        <w:t>. „</w:t>
      </w:r>
      <w:r w:rsidR="00853BD9">
        <w:rPr>
          <w:bCs/>
          <w:sz w:val="22"/>
          <w:szCs w:val="22"/>
        </w:rPr>
        <w:t>Ich hätte mir vor allem angesichts der Dauerpräsenz des Themas und der damit verbundenen Verpf</w:t>
      </w:r>
      <w:r w:rsidR="00DF486C">
        <w:rPr>
          <w:bCs/>
          <w:sz w:val="22"/>
          <w:szCs w:val="22"/>
        </w:rPr>
        <w:t>lichtungen für Asset-</w:t>
      </w:r>
      <w:r w:rsidR="00853BD9">
        <w:rPr>
          <w:bCs/>
          <w:sz w:val="22"/>
          <w:szCs w:val="22"/>
        </w:rPr>
        <w:t>Manager einen deutlich höheren Wert erwartet.“</w:t>
      </w:r>
    </w:p>
    <w:p w14:paraId="3C39FBAF" w14:textId="77777777" w:rsidR="001D2888" w:rsidRDefault="001D2888" w:rsidP="00426F99">
      <w:pPr>
        <w:spacing w:line="276" w:lineRule="auto"/>
        <w:rPr>
          <w:bCs/>
          <w:sz w:val="22"/>
          <w:szCs w:val="22"/>
        </w:rPr>
      </w:pPr>
    </w:p>
    <w:p w14:paraId="177935D4" w14:textId="77777777" w:rsidR="00385B49" w:rsidRDefault="00385B49" w:rsidP="00385B49">
      <w:pPr>
        <w:spacing w:line="276" w:lineRule="auto"/>
        <w:rPr>
          <w:b/>
          <w:bCs/>
          <w:sz w:val="22"/>
          <w:szCs w:val="22"/>
        </w:rPr>
      </w:pPr>
      <w:r>
        <w:rPr>
          <w:b/>
          <w:bCs/>
          <w:sz w:val="22"/>
          <w:szCs w:val="22"/>
        </w:rPr>
        <w:t>„ESG ist da, aber noch nicht angekommen“</w:t>
      </w:r>
    </w:p>
    <w:p w14:paraId="2012C3E9" w14:textId="636BC097" w:rsidR="00853BD9" w:rsidRDefault="0078483E" w:rsidP="00426F99">
      <w:pPr>
        <w:spacing w:line="276" w:lineRule="auto"/>
        <w:rPr>
          <w:bCs/>
          <w:sz w:val="22"/>
          <w:szCs w:val="22"/>
        </w:rPr>
      </w:pPr>
      <w:r>
        <w:rPr>
          <w:bCs/>
          <w:sz w:val="22"/>
          <w:szCs w:val="22"/>
        </w:rPr>
        <w:t xml:space="preserve">Peter Fischer, Real Estate Leader bei PwC Österreich und Co-Autor der Studie, </w:t>
      </w:r>
      <w:r w:rsidR="00853BD9">
        <w:rPr>
          <w:bCs/>
          <w:sz w:val="22"/>
          <w:szCs w:val="22"/>
        </w:rPr>
        <w:t>untermauert, dass das Thema ESG gekommen sei, um zu bleiben. „ESG ist da, wir sind mittendrin, jedoch zeigen die Studienergebnisse klar</w:t>
      </w:r>
      <w:r w:rsidR="00B95211">
        <w:rPr>
          <w:bCs/>
          <w:sz w:val="22"/>
          <w:szCs w:val="22"/>
        </w:rPr>
        <w:t>, dass die Dringlichkeit des Themas</w:t>
      </w:r>
      <w:r w:rsidR="00853BD9">
        <w:rPr>
          <w:bCs/>
          <w:sz w:val="22"/>
          <w:szCs w:val="22"/>
        </w:rPr>
        <w:t xml:space="preserve"> in der Branche noch nicht angekommen ist. Wer dieses Thema ignoriert, wird auf der Strecke bleiben.“</w:t>
      </w:r>
    </w:p>
    <w:p w14:paraId="0AF27679" w14:textId="77777777" w:rsidR="00BD6F10" w:rsidRDefault="00BD6F10" w:rsidP="00426F99">
      <w:pPr>
        <w:spacing w:line="276" w:lineRule="auto"/>
        <w:rPr>
          <w:bCs/>
          <w:sz w:val="22"/>
          <w:szCs w:val="22"/>
        </w:rPr>
      </w:pPr>
    </w:p>
    <w:p w14:paraId="12B7B59C" w14:textId="1CFE3119" w:rsidR="00BD6F10" w:rsidRDefault="00BD6F10" w:rsidP="00426F99">
      <w:pPr>
        <w:spacing w:line="276" w:lineRule="auto"/>
        <w:rPr>
          <w:bCs/>
          <w:sz w:val="22"/>
          <w:szCs w:val="22"/>
        </w:rPr>
      </w:pPr>
      <w:r>
        <w:rPr>
          <w:bCs/>
          <w:sz w:val="22"/>
          <w:szCs w:val="22"/>
        </w:rPr>
        <w:t xml:space="preserve">Bis 2030 müssen ESG-Kriterien sowohl im Bestand als auch bei Neubauten umgesetzt sein. Heinz Redl von BHR Management warnt davor, </w:t>
      </w:r>
      <w:r w:rsidR="00B95211">
        <w:rPr>
          <w:bCs/>
          <w:sz w:val="22"/>
          <w:szCs w:val="22"/>
        </w:rPr>
        <w:t xml:space="preserve">jetzt </w:t>
      </w:r>
      <w:r>
        <w:rPr>
          <w:bCs/>
          <w:sz w:val="22"/>
          <w:szCs w:val="22"/>
        </w:rPr>
        <w:t xml:space="preserve">nur auf </w:t>
      </w:r>
      <w:r w:rsidR="00B95211">
        <w:rPr>
          <w:bCs/>
          <w:sz w:val="22"/>
          <w:szCs w:val="22"/>
        </w:rPr>
        <w:t xml:space="preserve">einzelne </w:t>
      </w:r>
      <w:r w:rsidR="0078483E">
        <w:rPr>
          <w:bCs/>
          <w:sz w:val="22"/>
          <w:szCs w:val="22"/>
        </w:rPr>
        <w:t>Leuchtturm</w:t>
      </w:r>
      <w:r w:rsidR="00B95211">
        <w:rPr>
          <w:bCs/>
          <w:sz w:val="22"/>
          <w:szCs w:val="22"/>
        </w:rPr>
        <w:t>-</w:t>
      </w:r>
      <w:r>
        <w:rPr>
          <w:bCs/>
          <w:sz w:val="22"/>
          <w:szCs w:val="22"/>
        </w:rPr>
        <w:t>Projekte zu schauen, bei denen ESG bereits umgesetzt wird. „Ich würde das, was da vor uns liegt</w:t>
      </w:r>
      <w:r w:rsidR="00DF486C">
        <w:rPr>
          <w:bCs/>
          <w:sz w:val="22"/>
          <w:szCs w:val="22"/>
        </w:rPr>
        <w:t>,</w:t>
      </w:r>
      <w:r>
        <w:rPr>
          <w:bCs/>
          <w:sz w:val="22"/>
          <w:szCs w:val="22"/>
        </w:rPr>
        <w:t xml:space="preserve"> als Marathonlauf sehen, bei dem die ersten vorne wegpreschen, während die große Masse des Feldes noch im Startbereich ist. Wir brauchen ein Zusammenspiel aller Immobilien-relevanten Bereiche</w:t>
      </w:r>
      <w:r w:rsidR="00B95211">
        <w:rPr>
          <w:bCs/>
          <w:sz w:val="22"/>
          <w:szCs w:val="22"/>
        </w:rPr>
        <w:t xml:space="preserve"> und Treiber, die das Thema forcieren</w:t>
      </w:r>
      <w:r w:rsidR="00385B49">
        <w:rPr>
          <w:bCs/>
          <w:sz w:val="22"/>
          <w:szCs w:val="22"/>
        </w:rPr>
        <w:t>, um die definierten Ziele zu erreichen</w:t>
      </w:r>
      <w:r>
        <w:rPr>
          <w:bCs/>
          <w:sz w:val="22"/>
          <w:szCs w:val="22"/>
        </w:rPr>
        <w:t>. Da liegt noch ein langer Weg vor uns, auf dem aber große Chancen und Potenziale</w:t>
      </w:r>
      <w:r w:rsidR="00B95211">
        <w:rPr>
          <w:bCs/>
          <w:sz w:val="22"/>
          <w:szCs w:val="22"/>
        </w:rPr>
        <w:t xml:space="preserve"> für die gesamte Branche</w:t>
      </w:r>
      <w:r>
        <w:rPr>
          <w:bCs/>
          <w:sz w:val="22"/>
          <w:szCs w:val="22"/>
        </w:rPr>
        <w:t xml:space="preserve"> liegen.“</w:t>
      </w:r>
    </w:p>
    <w:p w14:paraId="2CBED73F" w14:textId="77777777" w:rsidR="00B95211" w:rsidRDefault="00B95211" w:rsidP="00426F99">
      <w:pPr>
        <w:spacing w:line="276" w:lineRule="auto"/>
        <w:rPr>
          <w:bCs/>
          <w:sz w:val="22"/>
          <w:szCs w:val="22"/>
        </w:rPr>
      </w:pPr>
    </w:p>
    <w:p w14:paraId="305460DB" w14:textId="3AB71BFE" w:rsidR="00B95211" w:rsidRDefault="00B95211" w:rsidP="00426F99">
      <w:pPr>
        <w:spacing w:line="276" w:lineRule="auto"/>
        <w:rPr>
          <w:bCs/>
          <w:sz w:val="22"/>
          <w:szCs w:val="22"/>
        </w:rPr>
      </w:pPr>
      <w:r>
        <w:rPr>
          <w:bCs/>
          <w:sz w:val="22"/>
          <w:szCs w:val="22"/>
        </w:rPr>
        <w:t>Caroline Mocker</w:t>
      </w:r>
      <w:r w:rsidR="00286197">
        <w:rPr>
          <w:bCs/>
          <w:sz w:val="22"/>
          <w:szCs w:val="22"/>
        </w:rPr>
        <w:t xml:space="preserve">, </w:t>
      </w:r>
      <w:r w:rsidR="00286197" w:rsidRPr="00286197">
        <w:rPr>
          <w:bCs/>
          <w:sz w:val="22"/>
          <w:szCs w:val="22"/>
        </w:rPr>
        <w:t xml:space="preserve">Vorstandsvorsitzende </w:t>
      </w:r>
      <w:r>
        <w:rPr>
          <w:bCs/>
          <w:sz w:val="22"/>
          <w:szCs w:val="22"/>
        </w:rPr>
        <w:t xml:space="preserve">der Vienna Insurance Group </w:t>
      </w:r>
      <w:r w:rsidR="00286197">
        <w:rPr>
          <w:bCs/>
          <w:sz w:val="22"/>
          <w:szCs w:val="22"/>
        </w:rPr>
        <w:t xml:space="preserve">Asset Management </w:t>
      </w:r>
      <w:r>
        <w:rPr>
          <w:bCs/>
          <w:sz w:val="22"/>
          <w:szCs w:val="22"/>
        </w:rPr>
        <w:t xml:space="preserve">sieht „unfassbar viel Arbeit“ auf die </w:t>
      </w:r>
      <w:r w:rsidR="002F36A7">
        <w:rPr>
          <w:bCs/>
          <w:sz w:val="22"/>
          <w:szCs w:val="22"/>
        </w:rPr>
        <w:t>Immobilienbranche</w:t>
      </w:r>
      <w:r>
        <w:rPr>
          <w:bCs/>
          <w:sz w:val="22"/>
          <w:szCs w:val="22"/>
        </w:rPr>
        <w:t xml:space="preserve"> zukommen. „Das wird eine große Managemen</w:t>
      </w:r>
      <w:r w:rsidR="002F36A7">
        <w:rPr>
          <w:bCs/>
          <w:sz w:val="22"/>
          <w:szCs w:val="22"/>
        </w:rPr>
        <w:t>t-Aufgabe mit einem guten Ziel. Wir können tatsächlich einen großen Beitrag zur Reduktion der CO</w:t>
      </w:r>
      <w:r w:rsidR="002F36A7" w:rsidRPr="00DF486C">
        <w:rPr>
          <w:bCs/>
          <w:sz w:val="22"/>
          <w:szCs w:val="22"/>
          <w:vertAlign w:val="subscript"/>
        </w:rPr>
        <w:t>2</w:t>
      </w:r>
      <w:r w:rsidR="002F36A7">
        <w:rPr>
          <w:bCs/>
          <w:sz w:val="22"/>
          <w:szCs w:val="22"/>
        </w:rPr>
        <w:t>-Emmissionen liefern.“</w:t>
      </w:r>
    </w:p>
    <w:p w14:paraId="30148AA6" w14:textId="77777777" w:rsidR="001D2888" w:rsidRDefault="001D2888" w:rsidP="00426F99">
      <w:pPr>
        <w:spacing w:line="276" w:lineRule="auto"/>
        <w:rPr>
          <w:bCs/>
          <w:sz w:val="22"/>
          <w:szCs w:val="22"/>
        </w:rPr>
      </w:pPr>
    </w:p>
    <w:p w14:paraId="1F17DB06" w14:textId="0AFA9A12" w:rsidR="008B206A" w:rsidRDefault="00676A85" w:rsidP="00426F99">
      <w:pPr>
        <w:spacing w:line="276" w:lineRule="auto"/>
        <w:rPr>
          <w:bCs/>
          <w:sz w:val="22"/>
          <w:szCs w:val="22"/>
        </w:rPr>
      </w:pPr>
      <w:r>
        <w:rPr>
          <w:b/>
          <w:bCs/>
          <w:sz w:val="22"/>
          <w:szCs w:val="22"/>
        </w:rPr>
        <w:t>Langfristig</w:t>
      </w:r>
      <w:r w:rsidR="008B206A">
        <w:rPr>
          <w:b/>
          <w:bCs/>
          <w:sz w:val="22"/>
          <w:szCs w:val="22"/>
        </w:rPr>
        <w:t xml:space="preserve"> sehr positiv</w:t>
      </w:r>
    </w:p>
    <w:p w14:paraId="713A2B0D" w14:textId="3BF7A192" w:rsidR="001D2888" w:rsidRDefault="00171EB2" w:rsidP="00426F99">
      <w:pPr>
        <w:spacing w:line="276" w:lineRule="auto"/>
        <w:rPr>
          <w:bCs/>
          <w:sz w:val="22"/>
          <w:szCs w:val="22"/>
        </w:rPr>
      </w:pPr>
      <w:r>
        <w:rPr>
          <w:bCs/>
          <w:sz w:val="22"/>
          <w:szCs w:val="22"/>
        </w:rPr>
        <w:t>Waren es 2020 noch 25 Prozent, gaben 2021 40 Prozent der Befragten an, sich ausreichend oder intensiv mit dem Thema Nachhaltigkeit zu beschäftigen. Die damit zusammenhängenden Aufgaben und Inv</w:t>
      </w:r>
      <w:r w:rsidR="007C2CE8">
        <w:rPr>
          <w:bCs/>
          <w:sz w:val="22"/>
          <w:szCs w:val="22"/>
        </w:rPr>
        <w:t>estitionsbedarfe bewerten Asset-</w:t>
      </w:r>
      <w:r>
        <w:rPr>
          <w:bCs/>
          <w:sz w:val="22"/>
          <w:szCs w:val="22"/>
        </w:rPr>
        <w:t>Manager durchaus positiv. Auch wenn kurzfristig von einem tendenziell negativen Effekt auf die Immobi</w:t>
      </w:r>
      <w:r w:rsidR="00B95211">
        <w:rPr>
          <w:bCs/>
          <w:sz w:val="22"/>
          <w:szCs w:val="22"/>
        </w:rPr>
        <w:t>l</w:t>
      </w:r>
      <w:r>
        <w:rPr>
          <w:bCs/>
          <w:sz w:val="22"/>
          <w:szCs w:val="22"/>
        </w:rPr>
        <w:t xml:space="preserve">ienperformance ausgegangen wird, sehen die Experten langfristig klar positive </w:t>
      </w:r>
      <w:r w:rsidR="00BD6F10">
        <w:rPr>
          <w:bCs/>
          <w:sz w:val="22"/>
          <w:szCs w:val="22"/>
        </w:rPr>
        <w:t xml:space="preserve">Auswirkungen. „Diejenigen, die jetzt schon Projekte haben, die die Kriterien erfüllen, denen werden diese </w:t>
      </w:r>
      <w:r w:rsidR="008B206A">
        <w:rPr>
          <w:bCs/>
          <w:sz w:val="22"/>
          <w:szCs w:val="22"/>
        </w:rPr>
        <w:t xml:space="preserve">gerade </w:t>
      </w:r>
      <w:r w:rsidR="00BD6F10">
        <w:rPr>
          <w:bCs/>
          <w:sz w:val="22"/>
          <w:szCs w:val="22"/>
        </w:rPr>
        <w:t>aus den Händen gerissen“, erläutert Frank</w:t>
      </w:r>
      <w:r w:rsidR="007C2CE8">
        <w:rPr>
          <w:bCs/>
          <w:sz w:val="22"/>
          <w:szCs w:val="22"/>
        </w:rPr>
        <w:t xml:space="preserve"> Brün, Co-Autor der Studie </w:t>
      </w:r>
      <w:r w:rsidR="007C2CE8">
        <w:rPr>
          <w:bCs/>
          <w:sz w:val="22"/>
          <w:szCs w:val="22"/>
        </w:rPr>
        <w:lastRenderedPageBreak/>
        <w:t xml:space="preserve">und </w:t>
      </w:r>
      <w:r w:rsidR="00BD6F10">
        <w:rPr>
          <w:bCs/>
          <w:sz w:val="22"/>
          <w:szCs w:val="22"/>
        </w:rPr>
        <w:t>Vorstandsvorsitzender von AREAMA. „</w:t>
      </w:r>
      <w:r w:rsidR="00676A85">
        <w:rPr>
          <w:bCs/>
          <w:sz w:val="22"/>
          <w:szCs w:val="22"/>
        </w:rPr>
        <w:t xml:space="preserve">Langfristig </w:t>
      </w:r>
      <w:r w:rsidR="00BD6F10">
        <w:rPr>
          <w:bCs/>
          <w:sz w:val="22"/>
          <w:szCs w:val="22"/>
        </w:rPr>
        <w:t>wird ESG sehr positive Effekte auf die Performance haben.“</w:t>
      </w:r>
    </w:p>
    <w:p w14:paraId="5F928290" w14:textId="77777777" w:rsidR="00BD6F10" w:rsidRDefault="00BD6F10" w:rsidP="00426F99">
      <w:pPr>
        <w:spacing w:line="276" w:lineRule="auto"/>
        <w:rPr>
          <w:bCs/>
          <w:sz w:val="22"/>
          <w:szCs w:val="22"/>
        </w:rPr>
      </w:pPr>
    </w:p>
    <w:p w14:paraId="481B0D1C" w14:textId="77777777" w:rsidR="005427A2" w:rsidRPr="00385B49" w:rsidRDefault="005427A2" w:rsidP="00426F99">
      <w:pPr>
        <w:spacing w:line="276" w:lineRule="auto"/>
      </w:pPr>
      <w:r w:rsidRPr="00385B49">
        <w:t>* * *</w:t>
      </w:r>
    </w:p>
    <w:p w14:paraId="50D2D771" w14:textId="77777777" w:rsidR="00473894" w:rsidRPr="00385B49" w:rsidRDefault="00473894" w:rsidP="00426F99">
      <w:pPr>
        <w:pStyle w:val="Text"/>
        <w:spacing w:line="276" w:lineRule="auto"/>
        <w:ind w:right="-1"/>
        <w:rPr>
          <w:rFonts w:cs="Arial"/>
          <w:b/>
          <w:bCs/>
          <w:i/>
          <w:iCs/>
        </w:rPr>
      </w:pPr>
      <w:r w:rsidRPr="00385B49">
        <w:rPr>
          <w:rFonts w:cs="Arial"/>
          <w:b/>
          <w:bCs/>
          <w:i/>
          <w:iCs/>
        </w:rPr>
        <w:t>Drees &amp; Sommer: Innovativer Partner für Beraten, Planen, Bauen und Betreiben</w:t>
      </w:r>
    </w:p>
    <w:p w14:paraId="439FF5F3" w14:textId="77777777" w:rsidR="00EF3E65" w:rsidRPr="00385B49" w:rsidRDefault="00473894" w:rsidP="00426F99">
      <w:pPr>
        <w:spacing w:after="260" w:line="276" w:lineRule="auto"/>
        <w:rPr>
          <w:rFonts w:cs="Arial"/>
          <w:bCs/>
          <w:i/>
        </w:rPr>
      </w:pPr>
      <w:r w:rsidRPr="00385B49">
        <w:rPr>
          <w:rFonts w:cs="Arial"/>
          <w:bCs/>
          <w:i/>
        </w:rPr>
        <w:t xml:space="preserve">Als führendes europäisches Beratungs-, Planungs- und Projektmanagementunternehmen begleitet Drees &amp; Sommer private und öffentliche Bauherren sowie Investoren seit </w:t>
      </w:r>
      <w:r w:rsidR="005A18EF" w:rsidRPr="00385B49">
        <w:rPr>
          <w:rFonts w:cs="Arial"/>
          <w:bCs/>
          <w:i/>
        </w:rPr>
        <w:t xml:space="preserve">über </w:t>
      </w:r>
      <w:r w:rsidRPr="00385B49">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21785CA9" w14:textId="0F188EB8" w:rsidR="00760CEE" w:rsidRPr="007C2CE8" w:rsidRDefault="00473894" w:rsidP="00426F99">
      <w:pPr>
        <w:spacing w:after="260" w:line="276" w:lineRule="auto"/>
        <w:rPr>
          <w:rFonts w:cs="Arial"/>
          <w:bCs/>
          <w:i/>
        </w:rPr>
      </w:pPr>
      <w:r w:rsidRPr="00385B49">
        <w:rPr>
          <w:rFonts w:cs="Arial"/>
          <w:bCs/>
          <w:i/>
        </w:rPr>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w:t>
      </w:r>
      <w:proofErr w:type="spellStart"/>
      <w:r w:rsidRPr="00385B49">
        <w:rPr>
          <w:rFonts w:cs="Arial"/>
          <w:bCs/>
          <w:i/>
        </w:rPr>
        <w:t>the</w:t>
      </w:r>
      <w:proofErr w:type="spellEnd"/>
      <w:r w:rsidRPr="00385B49">
        <w:rPr>
          <w:rFonts w:cs="Arial"/>
          <w:bCs/>
          <w:i/>
        </w:rPr>
        <w:t xml:space="preserve"> </w:t>
      </w:r>
      <w:proofErr w:type="spellStart"/>
      <w:r w:rsidRPr="00385B49">
        <w:rPr>
          <w:rFonts w:cs="Arial"/>
          <w:bCs/>
          <w:i/>
        </w:rPr>
        <w:t>blue</w:t>
      </w:r>
      <w:proofErr w:type="spellEnd"/>
      <w:r w:rsidRPr="00385B49">
        <w:rPr>
          <w:rFonts w:cs="Arial"/>
          <w:bCs/>
          <w:i/>
        </w:rPr>
        <w:t xml:space="preserve"> </w:t>
      </w:r>
      <w:proofErr w:type="spellStart"/>
      <w:r w:rsidRPr="00385B49">
        <w:rPr>
          <w:rFonts w:cs="Arial"/>
          <w:bCs/>
          <w:i/>
        </w:rPr>
        <w:t>way</w:t>
      </w:r>
      <w:proofErr w:type="spellEnd"/>
      <w:r w:rsidRPr="00385B49">
        <w:rPr>
          <w:rFonts w:cs="Arial"/>
          <w:bCs/>
          <w:i/>
        </w:rPr>
        <w:t>“.</w:t>
      </w:r>
      <w:r w:rsidR="007C2CE8">
        <w:rPr>
          <w:rFonts w:cs="Arial"/>
          <w:bCs/>
          <w:i/>
        </w:rPr>
        <w:br/>
      </w:r>
      <w:hyperlink r:id="rId8" w:history="1">
        <w:r w:rsidR="00005ECB" w:rsidRPr="00385B49">
          <w:rPr>
            <w:rStyle w:val="Hyperlink"/>
            <w:b/>
            <w:bCs/>
          </w:rPr>
          <w:t>www.dreso.at</w:t>
        </w:r>
      </w:hyperlink>
      <w:r w:rsidR="00984B83" w:rsidRPr="00385B49">
        <w:rPr>
          <w:b/>
          <w:bCs/>
        </w:rPr>
        <w:t xml:space="preserve"> </w:t>
      </w:r>
    </w:p>
    <w:p w14:paraId="7339F1AF" w14:textId="07421237" w:rsidR="00760CEE" w:rsidRPr="00760CEE" w:rsidRDefault="00760CEE" w:rsidP="00760CEE">
      <w:pPr>
        <w:spacing w:after="260" w:line="276" w:lineRule="auto"/>
        <w:rPr>
          <w:b/>
          <w:bCs/>
        </w:rPr>
      </w:pPr>
      <w:r w:rsidRPr="00760CEE">
        <w:rPr>
          <w:b/>
          <w:bCs/>
        </w:rPr>
        <w:t>PwC</w:t>
      </w:r>
      <w:r>
        <w:rPr>
          <w:b/>
          <w:bCs/>
        </w:rPr>
        <w:t xml:space="preserve">: </w:t>
      </w:r>
      <w:r w:rsidRPr="00760CEE">
        <w:rPr>
          <w:b/>
          <w:bCs/>
        </w:rPr>
        <w:t xml:space="preserve">Vertrauen in der Gesellschaft aufbauen und wichtige Probleme lösen – das sehen wir bei PwC als unsere Aufgabe. Wir sind ein Netzwerk von Mitgliedsunternehmen in 156 Ländern. Mehr als 295.000 </w:t>
      </w:r>
      <w:proofErr w:type="spellStart"/>
      <w:r w:rsidRPr="00760CEE">
        <w:rPr>
          <w:b/>
          <w:bCs/>
        </w:rPr>
        <w:t>Mitarbeiter:innen</w:t>
      </w:r>
      <w:proofErr w:type="spellEnd"/>
      <w:r w:rsidRPr="00760CEE">
        <w:rPr>
          <w:b/>
          <w:bCs/>
        </w:rPr>
        <w:t xml:space="preserve"> erbringen weltweit qualitativ hochwertige Leistungen im Bereich Wirtschaftsprüfung, Steuer- und Rechtsberatung und Unternehmensberatung. Sagen Sie uns, was für Sie von Wert ist. Und erfahren Sie mehr unter </w:t>
      </w:r>
      <w:hyperlink r:id="rId9" w:history="1">
        <w:r w:rsidRPr="00760CEE">
          <w:rPr>
            <w:rStyle w:val="Hyperlink"/>
            <w:b/>
            <w:bCs/>
          </w:rPr>
          <w:t>www.pwc.at</w:t>
        </w:r>
      </w:hyperlink>
      <w:r w:rsidRPr="00760CEE">
        <w:rPr>
          <w:b/>
          <w:bCs/>
        </w:rPr>
        <w:t>.</w:t>
      </w:r>
    </w:p>
    <w:p w14:paraId="269B2E6D" w14:textId="78B473A6" w:rsidR="007C2CE8" w:rsidRDefault="00760CEE" w:rsidP="00426F99">
      <w:pPr>
        <w:spacing w:after="260" w:line="276" w:lineRule="auto"/>
        <w:rPr>
          <w:b/>
          <w:bCs/>
        </w:rPr>
      </w:pPr>
      <w:r w:rsidRPr="00760CEE">
        <w:rPr>
          <w:b/>
          <w:bCs/>
        </w:rPr>
        <w:t xml:space="preserve">„PwC“ bezeichnet das PwC-Netzwerk und/oder eine oder mehrere seiner Mitgliedsfirmen. Jedes Mitglied dieses Netzwerks ist ein selbstständiges Rechtssubjekt. Weitere Informationen finden Sie unter </w:t>
      </w:r>
      <w:hyperlink r:id="rId10" w:history="1">
        <w:r w:rsidR="007C2CE8" w:rsidRPr="00EB58C9">
          <w:rPr>
            <w:rStyle w:val="Hyperlink"/>
            <w:b/>
            <w:bCs/>
          </w:rPr>
          <w:t>www.pwc.com/structure</w:t>
        </w:r>
      </w:hyperlink>
      <w:r w:rsidRPr="00760CEE">
        <w:rPr>
          <w:b/>
          <w:bCs/>
        </w:rPr>
        <w:t>.</w:t>
      </w:r>
    </w:p>
    <w:p w14:paraId="321A4FEC" w14:textId="3893346F" w:rsidR="00A3467A" w:rsidRPr="00385B49" w:rsidRDefault="00BD7F57" w:rsidP="00426F99">
      <w:pPr>
        <w:spacing w:after="260" w:line="276" w:lineRule="auto"/>
        <w:rPr>
          <w:b/>
          <w:bCs/>
          <w:i/>
          <w:iCs/>
        </w:rPr>
      </w:pPr>
      <w:r w:rsidRPr="00385B49">
        <w:rPr>
          <w:b/>
          <w:bCs/>
          <w:i/>
          <w:iCs/>
          <w:lang w:val="de-AT"/>
        </w:rPr>
        <w:t>AREAMA:</w:t>
      </w:r>
      <w:r w:rsidRPr="00385B49">
        <w:rPr>
          <w:i/>
          <w:iCs/>
          <w:lang w:val="de-AT"/>
        </w:rPr>
        <w:t xml:space="preserve"> Die AREAMA</w:t>
      </w:r>
      <w:r w:rsidR="00A3467A" w:rsidRPr="00385B49">
        <w:rPr>
          <w:i/>
          <w:iCs/>
          <w:lang w:val="de-AT"/>
        </w:rPr>
        <w:t xml:space="preserve"> (</w:t>
      </w:r>
      <w:r w:rsidRPr="00385B49">
        <w:rPr>
          <w:i/>
          <w:iCs/>
          <w:lang w:val="de-AT"/>
        </w:rPr>
        <w:t>Austrian Real Estate Asset Management Association</w:t>
      </w:r>
      <w:r w:rsidR="00A3467A" w:rsidRPr="00385B49">
        <w:rPr>
          <w:i/>
          <w:iCs/>
          <w:lang w:val="de-AT"/>
        </w:rPr>
        <w:t>)</w:t>
      </w:r>
      <w:r w:rsidRPr="00385B49">
        <w:rPr>
          <w:i/>
          <w:iCs/>
          <w:lang w:val="de-AT"/>
        </w:rPr>
        <w:t xml:space="preserve"> wurde im Februar 2021 </w:t>
      </w:r>
      <w:r w:rsidR="007C2CE8">
        <w:rPr>
          <w:i/>
          <w:iCs/>
          <w:lang w:val="de-AT"/>
        </w:rPr>
        <w:t>gegründet, um Real Estate Asset-</w:t>
      </w:r>
      <w:r w:rsidRPr="00385B49">
        <w:rPr>
          <w:i/>
          <w:iCs/>
          <w:lang w:val="de-AT"/>
        </w:rPr>
        <w:t>ManagerInnen erstmals in Österreich eine gemeinsame Stimme zu geben. Die Ziele des Vereins umfassen die Definition, Positionierung und Weiterentwicklung des</w:t>
      </w:r>
      <w:r w:rsidR="006319DF">
        <w:rPr>
          <w:i/>
          <w:iCs/>
          <w:lang w:val="de-AT"/>
        </w:rPr>
        <w:t xml:space="preserve"> Berufsbildes Real Estate Asset-</w:t>
      </w:r>
      <w:r w:rsidRPr="00385B49">
        <w:rPr>
          <w:i/>
          <w:iCs/>
          <w:lang w:val="de-AT"/>
        </w:rPr>
        <w:t>Management, die Sicherung der fortlaufenden Weiterbildung sowie</w:t>
      </w:r>
      <w:r w:rsidR="00C72C3F" w:rsidRPr="00385B49">
        <w:rPr>
          <w:i/>
          <w:iCs/>
          <w:lang w:val="de-AT"/>
        </w:rPr>
        <w:t>,</w:t>
      </w:r>
      <w:r w:rsidRPr="00385B49">
        <w:rPr>
          <w:i/>
          <w:iCs/>
          <w:lang w:val="de-AT"/>
        </w:rPr>
        <w:t xml:space="preserve"> den Schutz des Ber</w:t>
      </w:r>
      <w:r w:rsidR="006319DF">
        <w:rPr>
          <w:i/>
          <w:iCs/>
          <w:lang w:val="de-AT"/>
        </w:rPr>
        <w:t>ufsbildes der Real Estate Asset-</w:t>
      </w:r>
      <w:r w:rsidRPr="00385B49">
        <w:rPr>
          <w:i/>
          <w:iCs/>
          <w:lang w:val="de-AT"/>
        </w:rPr>
        <w:t xml:space="preserve">ManagerInnen zu sichern.  </w:t>
      </w:r>
    </w:p>
    <w:p w14:paraId="3678D7C4" w14:textId="77777777" w:rsidR="00A3467A" w:rsidRPr="00385B49" w:rsidRDefault="00606134" w:rsidP="00426F99">
      <w:pPr>
        <w:spacing w:after="260" w:line="276" w:lineRule="auto"/>
        <w:rPr>
          <w:b/>
          <w:bCs/>
          <w:i/>
          <w:iCs/>
        </w:rPr>
      </w:pPr>
      <w:r w:rsidRPr="00385B49">
        <w:rPr>
          <w:b/>
          <w:bCs/>
          <w:i/>
          <w:iCs/>
        </w:rPr>
        <w:t xml:space="preserve">ÖVI: </w:t>
      </w:r>
      <w:r w:rsidRPr="00385B49">
        <w:rPr>
          <w:i/>
          <w:iCs/>
          <w:lang w:val="de-AT"/>
        </w:rPr>
        <w:t>Der Österreichische Verband der Immobilienwirtschaft setzt sich als unabhängige und freiwillige Vereinigung seit 1979 für seine Mitglieder und die standespolitischen Interessen der Immobilienwirtschaft ein. Makler, Verwalter, Bauträger, Sachverständige – unter dem Dach des ÖVI versammeln sich die besten Immobilienexperten Österreichs. ÖVI</w:t>
      </w:r>
      <w:r w:rsidR="001B56F5" w:rsidRPr="00385B49">
        <w:rPr>
          <w:i/>
          <w:iCs/>
          <w:lang w:val="de-AT"/>
        </w:rPr>
        <w:t>-</w:t>
      </w:r>
      <w:r w:rsidRPr="00385B49">
        <w:rPr>
          <w:i/>
          <w:iCs/>
          <w:lang w:val="de-AT"/>
        </w:rPr>
        <w:t>Unternehmen unterwerfen sich einem Ehrenkodex, der über die gesetzlichen Standesregeln hinausgeht und erfahren in ihrem Berufsalltag Unterstützung vom Verband.</w:t>
      </w:r>
      <w:r w:rsidR="00BD7F57" w:rsidRPr="00385B49">
        <w:rPr>
          <w:i/>
          <w:iCs/>
        </w:rPr>
        <w:t xml:space="preserve"> </w:t>
      </w:r>
    </w:p>
    <w:p w14:paraId="54FA5B89" w14:textId="77777777" w:rsidR="00385B49" w:rsidRDefault="00606134" w:rsidP="00385B49">
      <w:pPr>
        <w:spacing w:after="260" w:line="276" w:lineRule="auto"/>
        <w:rPr>
          <w:rFonts w:asciiTheme="minorHAnsi" w:hAnsiTheme="minorHAnsi" w:cstheme="minorHAnsi"/>
          <w:i/>
          <w:iCs/>
          <w:sz w:val="22"/>
          <w:szCs w:val="22"/>
          <w:lang w:val="de-AT"/>
        </w:rPr>
      </w:pPr>
      <w:r w:rsidRPr="00385B49">
        <w:rPr>
          <w:rFonts w:asciiTheme="minorHAnsi" w:hAnsiTheme="minorHAnsi" w:cstheme="minorHAnsi"/>
          <w:b/>
          <w:bCs/>
          <w:i/>
          <w:iCs/>
          <w:lang w:val="de-AT"/>
        </w:rPr>
        <w:t xml:space="preserve">RICS: </w:t>
      </w:r>
      <w:r w:rsidRPr="00385B49">
        <w:rPr>
          <w:rFonts w:asciiTheme="minorHAnsi" w:hAnsiTheme="minorHAnsi" w:cstheme="minorHAnsi"/>
          <w:i/>
          <w:iCs/>
          <w:lang w:val="de-AT"/>
        </w:rPr>
        <w:t xml:space="preserve">Die Royal Institution </w:t>
      </w:r>
      <w:proofErr w:type="spellStart"/>
      <w:r w:rsidRPr="00385B49">
        <w:rPr>
          <w:rFonts w:asciiTheme="minorHAnsi" w:hAnsiTheme="minorHAnsi" w:cstheme="minorHAnsi"/>
          <w:i/>
          <w:iCs/>
          <w:lang w:val="de-AT"/>
        </w:rPr>
        <w:t>of</w:t>
      </w:r>
      <w:proofErr w:type="spellEnd"/>
      <w:r w:rsidRPr="00385B49">
        <w:rPr>
          <w:rFonts w:asciiTheme="minorHAnsi" w:hAnsiTheme="minorHAnsi" w:cstheme="minorHAnsi"/>
          <w:i/>
          <w:iCs/>
          <w:lang w:val="de-AT"/>
        </w:rPr>
        <w:t xml:space="preserve"> Chartered </w:t>
      </w:r>
      <w:proofErr w:type="spellStart"/>
      <w:r w:rsidRPr="00385B49">
        <w:rPr>
          <w:rFonts w:asciiTheme="minorHAnsi" w:hAnsiTheme="minorHAnsi" w:cstheme="minorHAnsi"/>
          <w:i/>
          <w:iCs/>
          <w:lang w:val="de-AT"/>
        </w:rPr>
        <w:t>Surveyors</w:t>
      </w:r>
      <w:proofErr w:type="spellEnd"/>
      <w:r w:rsidRPr="00385B49">
        <w:rPr>
          <w:rFonts w:asciiTheme="minorHAnsi" w:hAnsiTheme="minorHAnsi" w:cstheme="minorHAnsi"/>
          <w:i/>
          <w:iCs/>
          <w:lang w:val="de-AT"/>
        </w:rPr>
        <w:t xml:space="preserve"> (RICS), gegründet 1868, ist ein weltweit tätiger Berufsverband von Immobilienfachleuten und Immobiliensachverständigen. Chartered </w:t>
      </w:r>
      <w:proofErr w:type="spellStart"/>
      <w:r w:rsidRPr="00385B49">
        <w:rPr>
          <w:rFonts w:asciiTheme="minorHAnsi" w:hAnsiTheme="minorHAnsi" w:cstheme="minorHAnsi"/>
          <w:i/>
          <w:iCs/>
          <w:lang w:val="de-AT"/>
        </w:rPr>
        <w:t>Surveyors</w:t>
      </w:r>
      <w:proofErr w:type="spellEnd"/>
      <w:r w:rsidRPr="00385B49">
        <w:rPr>
          <w:rFonts w:asciiTheme="minorHAnsi" w:hAnsiTheme="minorHAnsi" w:cstheme="minorHAnsi"/>
          <w:i/>
          <w:iCs/>
          <w:lang w:val="de-AT"/>
        </w:rPr>
        <w:t xml:space="preserve"> </w:t>
      </w:r>
      <w:r w:rsidRPr="00385B49">
        <w:rPr>
          <w:rFonts w:asciiTheme="minorHAnsi" w:hAnsiTheme="minorHAnsi" w:cstheme="minorHAnsi"/>
          <w:i/>
          <w:iCs/>
          <w:lang w:val="de-AT"/>
        </w:rPr>
        <w:lastRenderedPageBreak/>
        <w:t>repräsentieren Internationalität, Kompetenz, Professionalität sowie Integrität in allen Bereichen des immobilienwirtschaftlichen Lebenszyklus.</w:t>
      </w:r>
      <w:r w:rsidRPr="006319DF">
        <w:rPr>
          <w:rFonts w:asciiTheme="minorHAnsi" w:hAnsiTheme="minorHAnsi" w:cstheme="minorHAnsi"/>
          <w:i/>
          <w:iCs/>
          <w:lang w:val="de-AT"/>
        </w:rPr>
        <w:t xml:space="preserve"> Die RICS repräsentiert einen modernen, dynamischen Berufsverband mit der Vision, den Immobilienberuf auf internationaler Ebene zu fördern.</w:t>
      </w:r>
    </w:p>
    <w:p w14:paraId="024F4AE3" w14:textId="77777777" w:rsidR="006319DF" w:rsidRDefault="006319DF" w:rsidP="00385B49">
      <w:pPr>
        <w:spacing w:after="260" w:line="276" w:lineRule="auto"/>
        <w:rPr>
          <w:b/>
          <w:lang w:val="de-AT"/>
        </w:rPr>
      </w:pPr>
    </w:p>
    <w:p w14:paraId="23966EBD" w14:textId="77777777" w:rsidR="00AF543C" w:rsidRPr="00385B49" w:rsidRDefault="00005ECB" w:rsidP="00385B49">
      <w:pPr>
        <w:spacing w:after="260" w:line="276" w:lineRule="auto"/>
        <w:rPr>
          <w:b/>
          <w:lang w:val="de-AT"/>
        </w:rPr>
      </w:pPr>
      <w:r w:rsidRPr="00385B49">
        <w:rPr>
          <w:b/>
          <w:lang w:val="de-AT"/>
        </w:rPr>
        <w:t>K</w:t>
      </w:r>
      <w:r w:rsidR="005427A2" w:rsidRPr="00385B49">
        <w:rPr>
          <w:b/>
          <w:lang w:val="de-AT"/>
        </w:rPr>
        <w:t>ontakt für Rückfragen:</w:t>
      </w:r>
      <w:r w:rsidR="00CE6FDD" w:rsidRPr="00385B49">
        <w:rPr>
          <w:b/>
          <w:lang w:val="de-AT"/>
        </w:rPr>
        <w:t xml:space="preserve"> </w:t>
      </w:r>
    </w:p>
    <w:p w14:paraId="5D230593" w14:textId="77777777" w:rsidR="0019308B" w:rsidRPr="00385B49" w:rsidRDefault="002F36A7" w:rsidP="00426F99">
      <w:pPr>
        <w:spacing w:after="120" w:line="276" w:lineRule="auto"/>
        <w:jc w:val="left"/>
        <w:rPr>
          <w:lang w:val="de-AT"/>
        </w:rPr>
      </w:pPr>
      <w:r w:rsidRPr="00385B49">
        <w:rPr>
          <w:lang w:val="de-AT"/>
        </w:rPr>
        <w:t>Patrick Bock</w:t>
      </w:r>
      <w:r w:rsidR="0019308B" w:rsidRPr="00385B49">
        <w:rPr>
          <w:lang w:val="de-AT"/>
        </w:rPr>
        <w:t xml:space="preserve">, </w:t>
      </w:r>
      <w:r w:rsidRPr="00385B49">
        <w:rPr>
          <w:lang w:val="de-AT"/>
        </w:rPr>
        <w:t>B</w:t>
      </w:r>
      <w:r w:rsidR="0019308B" w:rsidRPr="00385B49">
        <w:rPr>
          <w:lang w:val="de-AT"/>
        </w:rPr>
        <w:t>randmedia</w:t>
      </w:r>
      <w:r w:rsidR="004322F1" w:rsidRPr="00385B49">
        <w:rPr>
          <w:lang w:val="de-AT"/>
        </w:rPr>
        <w:t xml:space="preserve">, </w:t>
      </w:r>
      <w:hyperlink r:id="rId11" w:history="1">
        <w:r w:rsidRPr="00DF486C">
          <w:rPr>
            <w:rStyle w:val="Hyperlink"/>
            <w:u w:val="none"/>
            <w:lang w:val="de-AT"/>
          </w:rPr>
          <w:t>p.bock@brandmedia.cc</w:t>
        </w:r>
      </w:hyperlink>
      <w:r w:rsidR="004322F1" w:rsidRPr="00385B49">
        <w:rPr>
          <w:lang w:val="de-AT"/>
        </w:rPr>
        <w:t>, +43 1 348 11 08</w:t>
      </w:r>
    </w:p>
    <w:p w14:paraId="2399CC18" w14:textId="77777777" w:rsidR="002F36A7" w:rsidRPr="00385B49" w:rsidRDefault="002F36A7" w:rsidP="00426F99">
      <w:pPr>
        <w:spacing w:after="120" w:line="276" w:lineRule="auto"/>
        <w:jc w:val="left"/>
        <w:rPr>
          <w:lang w:val="de-AT"/>
        </w:rPr>
      </w:pPr>
      <w:r w:rsidRPr="00385B49">
        <w:rPr>
          <w:lang w:val="de-AT"/>
        </w:rPr>
        <w:t xml:space="preserve">Melanie Kloster, Drees &amp; Sommer, </w:t>
      </w:r>
      <w:hyperlink r:id="rId12" w:history="1">
        <w:r w:rsidRPr="00DF486C">
          <w:rPr>
            <w:lang w:val="de-AT"/>
          </w:rPr>
          <w:t>melanie.kloster@dreso.com</w:t>
        </w:r>
      </w:hyperlink>
      <w:r w:rsidRPr="00DF486C">
        <w:rPr>
          <w:lang w:val="de-AT"/>
        </w:rPr>
        <w:t>,</w:t>
      </w:r>
      <w:r w:rsidRPr="00385B49">
        <w:rPr>
          <w:lang w:val="de-AT"/>
        </w:rPr>
        <w:t xml:space="preserve"> +43 1 5335660-5655</w:t>
      </w:r>
    </w:p>
    <w:sectPr w:rsidR="002F36A7" w:rsidRPr="00385B49" w:rsidSect="004E25AF">
      <w:headerReference w:type="default" r:id="rId13"/>
      <w:footerReference w:type="default" r:id="rId14"/>
      <w:headerReference w:type="first" r:id="rId15"/>
      <w:footerReference w:type="first" r:id="rId16"/>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B217" w14:textId="77777777" w:rsidR="00E03044" w:rsidRDefault="00E03044">
      <w:r>
        <w:separator/>
      </w:r>
    </w:p>
  </w:endnote>
  <w:endnote w:type="continuationSeparator" w:id="0">
    <w:p w14:paraId="021ABE65" w14:textId="77777777" w:rsidR="00E03044" w:rsidRDefault="00E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BOffice">
    <w:altName w:val="Cambria"/>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panose1 w:val="020B0604020202020204"/>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2A2F" w14:textId="77777777"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08E16660" wp14:editId="4A21234D">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7454242D" w14:textId="374DE1C2"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1666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49DQIAAPIDAAAOAAAAZHJzL2Uyb0RvYy54bWysU9tu2zAMfR+wfxD0vjhxkzU14hRdugwD&#10;ugvQ7QNkWY6FyaJGKbGzry8lp2nRvRXVg0CK1BF5eLS6HjrDDgq9Blvy2WTKmbISam13Jf/9a/th&#10;yZkPwtbCgFUlPyrPr9fv3616V6gcWjC1QkYg1he9K3kbgiuyzMtWdcJPwClLwQawE4Fc3GU1ip7Q&#10;O5Pl0+nHrAesHYJU3tPp7Rjk64TfNEqGH03jVWCm5FRbSDumvYp7tl6JYofCtVqeyhCvqKIT2tKj&#10;Z6hbEQTbo/4PqtMSwUMTJhK6DJpGS5V6oG5m0xfd3LfCqdQLkePdmSb/drDy++He/UQWhk8w0ABT&#10;E97dgfzjmYVNK+xO3SBC3ypR08OzSFnWO1+crkaqfeEjSNV/g5qGLPYBEtDQYBdZoT4ZodMAjmfS&#10;1RCYpMN8QWO8oJCk2OUyv8jTVDJRPN526MMXBR2LRsmRhprQxeHOh1iNKB5T4mMejK632pjk4K7a&#10;GGQHQQLYppUaeJFmLOtLfrXIFwnZQryftNHpQAI1uiv5chrXKJnIxmdbp5QgtBltqsTYEz2RkZGb&#10;MFQDJUaaKqiPRBTCKET6OGS0gP8460mEJfd/9wIVZ+arJbKjYpMxX1wSLQyTczWbz8mpnkeElQRT&#10;8sDZaG5CUnnkwMINDaTRiaunKk51krAShadPEJX73E9ZT191/QAAAP//AwBQSwMEFAAGAAgAAAAh&#10;ACf2Z87eAAAACQEAAA8AAABkcnMvZG93bnJldi54bWxMj8FOwzAMhu9IvENkJG5bQgcrK02nCQmJ&#10;C0IUuGeNaUsbpzTZ1u3p8U5wsi1/+v05X0+uF3scQ+tJw81cgUCqvG2p1vDx/jS7BxGiIWt6T6jh&#10;iAHWxeVFbjLrD/SG+zLWgkMoZEZDE+OQSRmqBp0Jcz8g8e7Lj85EHsda2tEcONz1MlFqKZ1piS80&#10;ZsDHBquu3DkN7bc6vTy/3naN6jA1/qf8TDdHra+vps0DiIhT/IPhrM/qULDT1u/IBtFrmC0SJrmu&#10;kjsQDCxWagliy41KQRa5/P9B8QsAAP//AwBQSwECLQAUAAYACAAAACEAtoM4kv4AAADhAQAAEwAA&#10;AAAAAAAAAAAAAAAAAAAAW0NvbnRlbnRfVHlwZXNdLnhtbFBLAQItABQABgAIAAAAIQA4/SH/1gAA&#10;AJQBAAALAAAAAAAAAAAAAAAAAC8BAABfcmVscy8ucmVsc1BLAQItABQABgAIAAAAIQAAlN49DQIA&#10;APIDAAAOAAAAAAAAAAAAAAAAAC4CAABkcnMvZTJvRG9jLnhtbFBLAQItABQABgAIAAAAIQAn9mfO&#10;3gAAAAkBAAAPAAAAAAAAAAAAAAAAAGcEAABkcnMvZG93bnJldi54bWxQSwUGAAAAAAQABADzAAAA&#10;cgUAAAAA&#10;" stroked="f">
              <v:textbox inset="0">
                <w:txbxContent>
                  <w:p w14:paraId="7454242D" w14:textId="374DE1C2"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0CD7C6F8" w14:textId="77777777">
      <w:trPr>
        <w:cantSplit/>
      </w:trPr>
      <w:tc>
        <w:tcPr>
          <w:tcW w:w="9082" w:type="dxa"/>
        </w:tcPr>
        <w:p w14:paraId="6CE78F2E" w14:textId="77777777" w:rsidR="007E41E6" w:rsidRPr="001C5C4F" w:rsidRDefault="007E41E6">
          <w:pPr>
            <w:pStyle w:val="Fuzeile"/>
          </w:pPr>
          <w:r>
            <w:t>&lt;Ergebnisprotokoll&gt;15.04.1994/</w:t>
          </w:r>
          <w:proofErr w:type="spellStart"/>
          <w:r>
            <w:t>hs</w:t>
          </w:r>
          <w:proofErr w:type="spellEnd"/>
        </w:p>
      </w:tc>
      <w:tc>
        <w:tcPr>
          <w:tcW w:w="2520" w:type="dxa"/>
        </w:tcPr>
        <w:p w14:paraId="0A6CD944" w14:textId="77777777" w:rsidR="007E41E6" w:rsidRPr="001C5C4F" w:rsidRDefault="007E41E6">
          <w:r w:rsidRPr="001C5C4F">
            <w:t xml:space="preserve">Seite </w:t>
          </w:r>
          <w:r w:rsidRPr="001C5C4F">
            <w:pgNum/>
          </w:r>
        </w:p>
      </w:tc>
    </w:tr>
  </w:tbl>
  <w:p w14:paraId="4CF8D396"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FB37" w14:textId="77777777" w:rsidR="00E03044" w:rsidRDefault="00E03044">
      <w:r>
        <w:separator/>
      </w:r>
    </w:p>
  </w:footnote>
  <w:footnote w:type="continuationSeparator" w:id="0">
    <w:p w14:paraId="1DFF3678" w14:textId="77777777" w:rsidR="00E03044" w:rsidRDefault="00E0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3362" w14:textId="41DA93A9" w:rsidR="007E41E6" w:rsidRDefault="003E22DE" w:rsidP="003E22DE">
    <w:pPr>
      <w:pStyle w:val="Berichtsart"/>
    </w:pPr>
    <w:r>
      <w:rPr>
        <w:noProof/>
        <w:lang w:val="de-AT" w:eastAsia="de-AT"/>
      </w:rPr>
      <w:drawing>
        <wp:inline distT="0" distB="0" distL="0" distR="0" wp14:anchorId="795F9F78" wp14:editId="6475C011">
          <wp:extent cx="688975" cy="523875"/>
          <wp:effectExtent l="0" t="0" r="0" b="952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88975" cy="523875"/>
                  </a:xfrm>
                  <a:prstGeom prst="rect">
                    <a:avLst/>
                  </a:prstGeom>
                </pic:spPr>
              </pic:pic>
            </a:graphicData>
          </a:graphic>
        </wp:inline>
      </w:drawing>
    </w:r>
    <w:r w:rsidR="00121A5D" w:rsidRPr="000A78E9">
      <w:rPr>
        <w:noProof/>
        <w:lang w:val="de-AT" w:eastAsia="de-AT"/>
      </w:rPr>
      <w:drawing>
        <wp:anchor distT="0" distB="0" distL="114300" distR="114300" simplePos="0" relativeHeight="251660288" behindDoc="0" locked="0" layoutInCell="1" allowOverlap="1" wp14:anchorId="384ECB26" wp14:editId="69CB68E7">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323B" w14:textId="77777777" w:rsidR="007E41E6" w:rsidRDefault="007E41E6">
    <w:pPr>
      <w:pStyle w:val="Kopfzeile"/>
      <w:tabs>
        <w:tab w:val="left" w:pos="9060"/>
      </w:tabs>
      <w:ind w:right="4139"/>
      <w:rPr>
        <w:b/>
        <w:sz w:val="32"/>
      </w:rPr>
    </w:pPr>
  </w:p>
  <w:p w14:paraId="18E6E5EA"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504B0D7" w14:textId="77777777">
      <w:trPr>
        <w:cantSplit/>
      </w:trPr>
      <w:tc>
        <w:tcPr>
          <w:tcW w:w="7280" w:type="dxa"/>
        </w:tcPr>
        <w:p w14:paraId="6D0F0BBC" w14:textId="77777777" w:rsidR="007E41E6" w:rsidRPr="001C5C4F" w:rsidRDefault="007E41E6">
          <w:pPr>
            <w:pStyle w:val="Kopfzeile"/>
          </w:pPr>
        </w:p>
      </w:tc>
      <w:tc>
        <w:tcPr>
          <w:tcW w:w="4080" w:type="dxa"/>
        </w:tcPr>
        <w:p w14:paraId="7542214E" w14:textId="77777777" w:rsidR="007E41E6" w:rsidRPr="001C5C4F" w:rsidRDefault="007E41E6">
          <w:pPr>
            <w:pStyle w:val="Kopfzeile"/>
            <w:rPr>
              <w:vanish/>
            </w:rPr>
          </w:pPr>
          <w:r w:rsidRPr="001C5C4F">
            <w:rPr>
              <w:vanish/>
            </w:rPr>
            <w:t>3</w:t>
          </w:r>
        </w:p>
      </w:tc>
    </w:tr>
    <w:tr w:rsidR="007E41E6" w:rsidRPr="001C5C4F" w14:paraId="16FAA21C" w14:textId="77777777">
      <w:trPr>
        <w:cantSplit/>
      </w:trPr>
      <w:tc>
        <w:tcPr>
          <w:tcW w:w="7280" w:type="dxa"/>
        </w:tcPr>
        <w:p w14:paraId="2000D331" w14:textId="77777777" w:rsidR="007E41E6" w:rsidRPr="001C5C4F" w:rsidRDefault="007E41E6">
          <w:pPr>
            <w:pStyle w:val="Kopfzeile"/>
            <w:tabs>
              <w:tab w:val="center" w:pos="5100"/>
              <w:tab w:val="left" w:pos="8520"/>
            </w:tabs>
          </w:pPr>
        </w:p>
      </w:tc>
      <w:tc>
        <w:tcPr>
          <w:tcW w:w="4080" w:type="dxa"/>
        </w:tcPr>
        <w:p w14:paraId="5AB2C349" w14:textId="77777777" w:rsidR="007E41E6" w:rsidRPr="001C5C4F" w:rsidRDefault="007E41E6">
          <w:pPr>
            <w:pStyle w:val="Kopfzeile"/>
            <w:rPr>
              <w:vanish/>
            </w:rPr>
          </w:pPr>
          <w:r w:rsidRPr="001C5C4F">
            <w:rPr>
              <w:vanish/>
            </w:rPr>
            <w:t>2</w:t>
          </w:r>
        </w:p>
      </w:tc>
    </w:tr>
    <w:tr w:rsidR="007E41E6" w:rsidRPr="001C5C4F" w14:paraId="06F1646E" w14:textId="77777777">
      <w:trPr>
        <w:cantSplit/>
      </w:trPr>
      <w:tc>
        <w:tcPr>
          <w:tcW w:w="7280" w:type="dxa"/>
        </w:tcPr>
        <w:p w14:paraId="2829D6CD" w14:textId="77777777" w:rsidR="007E41E6" w:rsidRPr="001C5C4F" w:rsidRDefault="007E41E6">
          <w:pPr>
            <w:pStyle w:val="Kopfzeile"/>
            <w:tabs>
              <w:tab w:val="center" w:pos="5100"/>
              <w:tab w:val="left" w:pos="8520"/>
            </w:tabs>
          </w:pPr>
        </w:p>
      </w:tc>
      <w:tc>
        <w:tcPr>
          <w:tcW w:w="4080" w:type="dxa"/>
        </w:tcPr>
        <w:p w14:paraId="68224D03" w14:textId="77777777" w:rsidR="007E41E6" w:rsidRPr="001C5C4F" w:rsidRDefault="007E41E6">
          <w:pPr>
            <w:pStyle w:val="Kopfzeile"/>
            <w:rPr>
              <w:vanish/>
            </w:rPr>
          </w:pPr>
          <w:r w:rsidRPr="001C5C4F">
            <w:rPr>
              <w:vanish/>
            </w:rPr>
            <w:t>1</w:t>
          </w:r>
          <w:r w:rsidRPr="001C5C4F">
            <w:rPr>
              <w:vanish/>
            </w:rPr>
            <w:tab/>
            <w:t>von unten ausfüllen !</w:t>
          </w:r>
        </w:p>
      </w:tc>
    </w:tr>
  </w:tbl>
  <w:p w14:paraId="75A6787F" w14:textId="77777777" w:rsidR="007E41E6" w:rsidRDefault="007E41E6">
    <w:pPr>
      <w:pStyle w:val="Kopfzeile"/>
      <w:tabs>
        <w:tab w:val="center" w:pos="5100"/>
        <w:tab w:val="left" w:pos="8520"/>
        <w:tab w:val="left" w:pos="9060"/>
      </w:tabs>
      <w:ind w:right="4139"/>
    </w:pPr>
  </w:p>
  <w:p w14:paraId="0E69843F"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16cid:durableId="1003820238">
    <w:abstractNumId w:val="18"/>
  </w:num>
  <w:num w:numId="2" w16cid:durableId="515966888">
    <w:abstractNumId w:val="16"/>
  </w:num>
  <w:num w:numId="3" w16cid:durableId="59249924">
    <w:abstractNumId w:val="11"/>
  </w:num>
  <w:num w:numId="4" w16cid:durableId="1360428004">
    <w:abstractNumId w:val="12"/>
  </w:num>
  <w:num w:numId="5" w16cid:durableId="1474829677">
    <w:abstractNumId w:val="12"/>
  </w:num>
  <w:num w:numId="6" w16cid:durableId="1110390475">
    <w:abstractNumId w:val="12"/>
  </w:num>
  <w:num w:numId="7" w16cid:durableId="1540045384">
    <w:abstractNumId w:val="14"/>
  </w:num>
  <w:num w:numId="8" w16cid:durableId="1484157150">
    <w:abstractNumId w:val="9"/>
  </w:num>
  <w:num w:numId="9" w16cid:durableId="976489053">
    <w:abstractNumId w:val="7"/>
  </w:num>
  <w:num w:numId="10" w16cid:durableId="1729108488">
    <w:abstractNumId w:val="6"/>
  </w:num>
  <w:num w:numId="11" w16cid:durableId="639263001">
    <w:abstractNumId w:val="5"/>
  </w:num>
  <w:num w:numId="12" w16cid:durableId="178784889">
    <w:abstractNumId w:val="4"/>
  </w:num>
  <w:num w:numId="13" w16cid:durableId="1432123238">
    <w:abstractNumId w:val="8"/>
  </w:num>
  <w:num w:numId="14" w16cid:durableId="1707561796">
    <w:abstractNumId w:val="3"/>
  </w:num>
  <w:num w:numId="15" w16cid:durableId="1114251018">
    <w:abstractNumId w:val="2"/>
  </w:num>
  <w:num w:numId="16" w16cid:durableId="2074160858">
    <w:abstractNumId w:val="1"/>
  </w:num>
  <w:num w:numId="17" w16cid:durableId="532350736">
    <w:abstractNumId w:val="0"/>
  </w:num>
  <w:num w:numId="18" w16cid:durableId="1028067027">
    <w:abstractNumId w:val="15"/>
  </w:num>
  <w:num w:numId="19" w16cid:durableId="1892955437">
    <w:abstractNumId w:val="13"/>
  </w:num>
  <w:num w:numId="20" w16cid:durableId="524445357">
    <w:abstractNumId w:val="10"/>
  </w:num>
  <w:num w:numId="21" w16cid:durableId="565073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2D80"/>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33A"/>
    <w:rsid w:val="00033547"/>
    <w:rsid w:val="00034AD3"/>
    <w:rsid w:val="00035237"/>
    <w:rsid w:val="00035560"/>
    <w:rsid w:val="000360C2"/>
    <w:rsid w:val="00037AE4"/>
    <w:rsid w:val="00037D07"/>
    <w:rsid w:val="00040443"/>
    <w:rsid w:val="00041A67"/>
    <w:rsid w:val="000458D3"/>
    <w:rsid w:val="000459D4"/>
    <w:rsid w:val="00046B95"/>
    <w:rsid w:val="00047A19"/>
    <w:rsid w:val="00051BFF"/>
    <w:rsid w:val="00051E11"/>
    <w:rsid w:val="00052A79"/>
    <w:rsid w:val="000548A2"/>
    <w:rsid w:val="000549BD"/>
    <w:rsid w:val="00055881"/>
    <w:rsid w:val="000603D5"/>
    <w:rsid w:val="00060C41"/>
    <w:rsid w:val="00062BF0"/>
    <w:rsid w:val="00065212"/>
    <w:rsid w:val="00065913"/>
    <w:rsid w:val="0007060F"/>
    <w:rsid w:val="00070C9A"/>
    <w:rsid w:val="00071819"/>
    <w:rsid w:val="00072A5E"/>
    <w:rsid w:val="000738A5"/>
    <w:rsid w:val="00073A96"/>
    <w:rsid w:val="00073EB0"/>
    <w:rsid w:val="000741FB"/>
    <w:rsid w:val="00075532"/>
    <w:rsid w:val="00076117"/>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19"/>
    <w:rsid w:val="000A216B"/>
    <w:rsid w:val="000A3736"/>
    <w:rsid w:val="000A3C52"/>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0944"/>
    <w:rsid w:val="000E1A5A"/>
    <w:rsid w:val="000E26DB"/>
    <w:rsid w:val="000E4B01"/>
    <w:rsid w:val="000E4CB0"/>
    <w:rsid w:val="000F0371"/>
    <w:rsid w:val="000F10BA"/>
    <w:rsid w:val="000F3B09"/>
    <w:rsid w:val="000F3E0C"/>
    <w:rsid w:val="000F4A45"/>
    <w:rsid w:val="000F569F"/>
    <w:rsid w:val="000F6A83"/>
    <w:rsid w:val="000F7007"/>
    <w:rsid w:val="00100F54"/>
    <w:rsid w:val="001021F6"/>
    <w:rsid w:val="00103AA7"/>
    <w:rsid w:val="001052CF"/>
    <w:rsid w:val="001071A9"/>
    <w:rsid w:val="00112DE6"/>
    <w:rsid w:val="001138C8"/>
    <w:rsid w:val="00120A35"/>
    <w:rsid w:val="00121A5D"/>
    <w:rsid w:val="00123026"/>
    <w:rsid w:val="0012422D"/>
    <w:rsid w:val="001259F9"/>
    <w:rsid w:val="00126845"/>
    <w:rsid w:val="0012708F"/>
    <w:rsid w:val="00134FBF"/>
    <w:rsid w:val="00135A86"/>
    <w:rsid w:val="0013774D"/>
    <w:rsid w:val="00140F09"/>
    <w:rsid w:val="001427EA"/>
    <w:rsid w:val="001450BE"/>
    <w:rsid w:val="00146670"/>
    <w:rsid w:val="00146C27"/>
    <w:rsid w:val="001473C4"/>
    <w:rsid w:val="00147DD6"/>
    <w:rsid w:val="00153196"/>
    <w:rsid w:val="001540C3"/>
    <w:rsid w:val="001576B2"/>
    <w:rsid w:val="00162639"/>
    <w:rsid w:val="0016408F"/>
    <w:rsid w:val="0016417A"/>
    <w:rsid w:val="0016644E"/>
    <w:rsid w:val="00171EB2"/>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687E"/>
    <w:rsid w:val="00197353"/>
    <w:rsid w:val="001976D3"/>
    <w:rsid w:val="00197E36"/>
    <w:rsid w:val="001A27DF"/>
    <w:rsid w:val="001A2E4E"/>
    <w:rsid w:val="001A2F72"/>
    <w:rsid w:val="001B1367"/>
    <w:rsid w:val="001B2438"/>
    <w:rsid w:val="001B2EF4"/>
    <w:rsid w:val="001B4772"/>
    <w:rsid w:val="001B56F5"/>
    <w:rsid w:val="001B5B30"/>
    <w:rsid w:val="001B5D13"/>
    <w:rsid w:val="001B5FD2"/>
    <w:rsid w:val="001B60F4"/>
    <w:rsid w:val="001C001A"/>
    <w:rsid w:val="001C14D6"/>
    <w:rsid w:val="001C2E96"/>
    <w:rsid w:val="001C33DD"/>
    <w:rsid w:val="001C3812"/>
    <w:rsid w:val="001C3CCB"/>
    <w:rsid w:val="001C4840"/>
    <w:rsid w:val="001C5C4F"/>
    <w:rsid w:val="001C5CE9"/>
    <w:rsid w:val="001C7823"/>
    <w:rsid w:val="001D0F6F"/>
    <w:rsid w:val="001D2888"/>
    <w:rsid w:val="001D2916"/>
    <w:rsid w:val="001D56D9"/>
    <w:rsid w:val="001D5A15"/>
    <w:rsid w:val="001D5EAD"/>
    <w:rsid w:val="001D6D8E"/>
    <w:rsid w:val="001D6F4C"/>
    <w:rsid w:val="001E054C"/>
    <w:rsid w:val="001E090E"/>
    <w:rsid w:val="001E0CD7"/>
    <w:rsid w:val="001E3F23"/>
    <w:rsid w:val="001E41D9"/>
    <w:rsid w:val="001E49BE"/>
    <w:rsid w:val="001E5387"/>
    <w:rsid w:val="001F0D61"/>
    <w:rsid w:val="001F2099"/>
    <w:rsid w:val="001F388E"/>
    <w:rsid w:val="001F3BE9"/>
    <w:rsid w:val="001F41E2"/>
    <w:rsid w:val="001F4B75"/>
    <w:rsid w:val="001F5AA2"/>
    <w:rsid w:val="001F5D4F"/>
    <w:rsid w:val="001F6CFA"/>
    <w:rsid w:val="001F7EFC"/>
    <w:rsid w:val="002033DA"/>
    <w:rsid w:val="00213189"/>
    <w:rsid w:val="00215D4D"/>
    <w:rsid w:val="00216A8D"/>
    <w:rsid w:val="00216CB3"/>
    <w:rsid w:val="00217B65"/>
    <w:rsid w:val="00224377"/>
    <w:rsid w:val="00224704"/>
    <w:rsid w:val="00225811"/>
    <w:rsid w:val="00226B87"/>
    <w:rsid w:val="002276D9"/>
    <w:rsid w:val="00230135"/>
    <w:rsid w:val="002304BB"/>
    <w:rsid w:val="0023059A"/>
    <w:rsid w:val="0023067B"/>
    <w:rsid w:val="00230E4E"/>
    <w:rsid w:val="00232BD5"/>
    <w:rsid w:val="002343C0"/>
    <w:rsid w:val="002346AF"/>
    <w:rsid w:val="00234738"/>
    <w:rsid w:val="002366DC"/>
    <w:rsid w:val="002371F6"/>
    <w:rsid w:val="002374AA"/>
    <w:rsid w:val="00241FF5"/>
    <w:rsid w:val="002425B0"/>
    <w:rsid w:val="0024306E"/>
    <w:rsid w:val="002433C8"/>
    <w:rsid w:val="00244EEB"/>
    <w:rsid w:val="00245818"/>
    <w:rsid w:val="00245CE5"/>
    <w:rsid w:val="002476E8"/>
    <w:rsid w:val="00251112"/>
    <w:rsid w:val="0025363D"/>
    <w:rsid w:val="002541CC"/>
    <w:rsid w:val="0026388B"/>
    <w:rsid w:val="00264432"/>
    <w:rsid w:val="0026579E"/>
    <w:rsid w:val="0026735A"/>
    <w:rsid w:val="00270FEC"/>
    <w:rsid w:val="00275255"/>
    <w:rsid w:val="00275451"/>
    <w:rsid w:val="00277565"/>
    <w:rsid w:val="002805CF"/>
    <w:rsid w:val="00280839"/>
    <w:rsid w:val="002828C2"/>
    <w:rsid w:val="00283828"/>
    <w:rsid w:val="00286197"/>
    <w:rsid w:val="0028621C"/>
    <w:rsid w:val="00286D25"/>
    <w:rsid w:val="00286FFD"/>
    <w:rsid w:val="00290764"/>
    <w:rsid w:val="00290B60"/>
    <w:rsid w:val="002949CC"/>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48C3"/>
    <w:rsid w:val="002C50DD"/>
    <w:rsid w:val="002C5AA3"/>
    <w:rsid w:val="002C5C49"/>
    <w:rsid w:val="002D0589"/>
    <w:rsid w:val="002D233C"/>
    <w:rsid w:val="002D407F"/>
    <w:rsid w:val="002E1820"/>
    <w:rsid w:val="002E1CDD"/>
    <w:rsid w:val="002F0308"/>
    <w:rsid w:val="002F1334"/>
    <w:rsid w:val="002F36A7"/>
    <w:rsid w:val="002F3CC2"/>
    <w:rsid w:val="002F7FBD"/>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36B"/>
    <w:rsid w:val="003375BE"/>
    <w:rsid w:val="00340654"/>
    <w:rsid w:val="00340E8C"/>
    <w:rsid w:val="00342809"/>
    <w:rsid w:val="00342DED"/>
    <w:rsid w:val="003451DA"/>
    <w:rsid w:val="00347AE7"/>
    <w:rsid w:val="00352077"/>
    <w:rsid w:val="003527A3"/>
    <w:rsid w:val="00354E02"/>
    <w:rsid w:val="00361A3E"/>
    <w:rsid w:val="00361BC7"/>
    <w:rsid w:val="00365964"/>
    <w:rsid w:val="003663C3"/>
    <w:rsid w:val="00370A87"/>
    <w:rsid w:val="003737A9"/>
    <w:rsid w:val="00373F1A"/>
    <w:rsid w:val="003745BE"/>
    <w:rsid w:val="00376194"/>
    <w:rsid w:val="00376A7A"/>
    <w:rsid w:val="00381B0F"/>
    <w:rsid w:val="0038310E"/>
    <w:rsid w:val="003845CB"/>
    <w:rsid w:val="00384899"/>
    <w:rsid w:val="00385B49"/>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39F2"/>
    <w:rsid w:val="003B44FA"/>
    <w:rsid w:val="003B4DB3"/>
    <w:rsid w:val="003B5EAB"/>
    <w:rsid w:val="003C02BB"/>
    <w:rsid w:val="003C0C00"/>
    <w:rsid w:val="003C21B8"/>
    <w:rsid w:val="003C238A"/>
    <w:rsid w:val="003C2A39"/>
    <w:rsid w:val="003C6D9B"/>
    <w:rsid w:val="003C737B"/>
    <w:rsid w:val="003C74C7"/>
    <w:rsid w:val="003C7728"/>
    <w:rsid w:val="003D16A9"/>
    <w:rsid w:val="003D1AC3"/>
    <w:rsid w:val="003D1BCC"/>
    <w:rsid w:val="003D3F1F"/>
    <w:rsid w:val="003D4901"/>
    <w:rsid w:val="003E22DE"/>
    <w:rsid w:val="003E47A0"/>
    <w:rsid w:val="003F32B9"/>
    <w:rsid w:val="003F3E1A"/>
    <w:rsid w:val="00401B7F"/>
    <w:rsid w:val="004024C5"/>
    <w:rsid w:val="004032AB"/>
    <w:rsid w:val="004042C5"/>
    <w:rsid w:val="00410484"/>
    <w:rsid w:val="0041119F"/>
    <w:rsid w:val="00411A0F"/>
    <w:rsid w:val="00414CB4"/>
    <w:rsid w:val="00421605"/>
    <w:rsid w:val="00424D58"/>
    <w:rsid w:val="00425EE9"/>
    <w:rsid w:val="00426F9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ED8"/>
    <w:rsid w:val="00457F44"/>
    <w:rsid w:val="004601A0"/>
    <w:rsid w:val="0046085E"/>
    <w:rsid w:val="004614DC"/>
    <w:rsid w:val="00461F14"/>
    <w:rsid w:val="0046507B"/>
    <w:rsid w:val="0046550C"/>
    <w:rsid w:val="00466060"/>
    <w:rsid w:val="0046657E"/>
    <w:rsid w:val="00470EF4"/>
    <w:rsid w:val="00473894"/>
    <w:rsid w:val="00475910"/>
    <w:rsid w:val="00475969"/>
    <w:rsid w:val="00480C67"/>
    <w:rsid w:val="00484090"/>
    <w:rsid w:val="00485A6E"/>
    <w:rsid w:val="0048617B"/>
    <w:rsid w:val="00486C09"/>
    <w:rsid w:val="004900BD"/>
    <w:rsid w:val="00495C4A"/>
    <w:rsid w:val="004967C2"/>
    <w:rsid w:val="004A0E98"/>
    <w:rsid w:val="004A172C"/>
    <w:rsid w:val="004A2802"/>
    <w:rsid w:val="004A3139"/>
    <w:rsid w:val="004A7ACF"/>
    <w:rsid w:val="004B04BD"/>
    <w:rsid w:val="004B6213"/>
    <w:rsid w:val="004C11B7"/>
    <w:rsid w:val="004C17A4"/>
    <w:rsid w:val="004C199B"/>
    <w:rsid w:val="004C1D22"/>
    <w:rsid w:val="004C224A"/>
    <w:rsid w:val="004C6C53"/>
    <w:rsid w:val="004C7093"/>
    <w:rsid w:val="004D157C"/>
    <w:rsid w:val="004D1A33"/>
    <w:rsid w:val="004D7A15"/>
    <w:rsid w:val="004E0B03"/>
    <w:rsid w:val="004E16C8"/>
    <w:rsid w:val="004E25AF"/>
    <w:rsid w:val="004E2FCE"/>
    <w:rsid w:val="004E651E"/>
    <w:rsid w:val="004E6A1A"/>
    <w:rsid w:val="004E7FB3"/>
    <w:rsid w:val="004F04CA"/>
    <w:rsid w:val="004F0790"/>
    <w:rsid w:val="00500AB7"/>
    <w:rsid w:val="005034B4"/>
    <w:rsid w:val="00505E06"/>
    <w:rsid w:val="00511E0E"/>
    <w:rsid w:val="00514C50"/>
    <w:rsid w:val="00515863"/>
    <w:rsid w:val="005170E7"/>
    <w:rsid w:val="00517713"/>
    <w:rsid w:val="00517A63"/>
    <w:rsid w:val="00521C22"/>
    <w:rsid w:val="0052389A"/>
    <w:rsid w:val="00526093"/>
    <w:rsid w:val="0053270B"/>
    <w:rsid w:val="00534663"/>
    <w:rsid w:val="00535691"/>
    <w:rsid w:val="00537F47"/>
    <w:rsid w:val="0054050B"/>
    <w:rsid w:val="00541778"/>
    <w:rsid w:val="005421C0"/>
    <w:rsid w:val="005427A2"/>
    <w:rsid w:val="005432C0"/>
    <w:rsid w:val="00543CDF"/>
    <w:rsid w:val="00543F2F"/>
    <w:rsid w:val="00545C8A"/>
    <w:rsid w:val="005504A0"/>
    <w:rsid w:val="00550EC7"/>
    <w:rsid w:val="00552124"/>
    <w:rsid w:val="005538DA"/>
    <w:rsid w:val="00554E31"/>
    <w:rsid w:val="0056280C"/>
    <w:rsid w:val="00562F66"/>
    <w:rsid w:val="00563127"/>
    <w:rsid w:val="00564A70"/>
    <w:rsid w:val="00565FED"/>
    <w:rsid w:val="005724AF"/>
    <w:rsid w:val="00575E2D"/>
    <w:rsid w:val="0057717E"/>
    <w:rsid w:val="00582658"/>
    <w:rsid w:val="00584779"/>
    <w:rsid w:val="00585D0B"/>
    <w:rsid w:val="00586A5F"/>
    <w:rsid w:val="00586EF3"/>
    <w:rsid w:val="005877EE"/>
    <w:rsid w:val="005942B5"/>
    <w:rsid w:val="005952B2"/>
    <w:rsid w:val="005963CB"/>
    <w:rsid w:val="005A0DE8"/>
    <w:rsid w:val="005A18EF"/>
    <w:rsid w:val="005A4C44"/>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4CEE"/>
    <w:rsid w:val="005E5851"/>
    <w:rsid w:val="005E5E74"/>
    <w:rsid w:val="005E5ED7"/>
    <w:rsid w:val="005E7A1D"/>
    <w:rsid w:val="005E7FC1"/>
    <w:rsid w:val="005F002E"/>
    <w:rsid w:val="005F0A9D"/>
    <w:rsid w:val="005F0DEC"/>
    <w:rsid w:val="005F12BF"/>
    <w:rsid w:val="005F2A72"/>
    <w:rsid w:val="005F2C4B"/>
    <w:rsid w:val="005F6870"/>
    <w:rsid w:val="005F6E51"/>
    <w:rsid w:val="005F7112"/>
    <w:rsid w:val="005F7D0F"/>
    <w:rsid w:val="005F7DAC"/>
    <w:rsid w:val="006002C5"/>
    <w:rsid w:val="00600879"/>
    <w:rsid w:val="006012F0"/>
    <w:rsid w:val="0060295F"/>
    <w:rsid w:val="00602D1C"/>
    <w:rsid w:val="006034CD"/>
    <w:rsid w:val="00603E43"/>
    <w:rsid w:val="00606134"/>
    <w:rsid w:val="006061E6"/>
    <w:rsid w:val="006102BD"/>
    <w:rsid w:val="0061153A"/>
    <w:rsid w:val="00611C2D"/>
    <w:rsid w:val="0061482B"/>
    <w:rsid w:val="00615008"/>
    <w:rsid w:val="006153A5"/>
    <w:rsid w:val="0061559C"/>
    <w:rsid w:val="006162DB"/>
    <w:rsid w:val="00616428"/>
    <w:rsid w:val="006211D2"/>
    <w:rsid w:val="00621EE8"/>
    <w:rsid w:val="00623027"/>
    <w:rsid w:val="00625858"/>
    <w:rsid w:val="00630DCA"/>
    <w:rsid w:val="006319DF"/>
    <w:rsid w:val="006323F3"/>
    <w:rsid w:val="0063281C"/>
    <w:rsid w:val="006355A4"/>
    <w:rsid w:val="0063731F"/>
    <w:rsid w:val="00637358"/>
    <w:rsid w:val="006416D7"/>
    <w:rsid w:val="00642EC7"/>
    <w:rsid w:val="00644860"/>
    <w:rsid w:val="006474B7"/>
    <w:rsid w:val="006554E1"/>
    <w:rsid w:val="006606B2"/>
    <w:rsid w:val="00661371"/>
    <w:rsid w:val="0066337D"/>
    <w:rsid w:val="00663653"/>
    <w:rsid w:val="00665581"/>
    <w:rsid w:val="00665B3A"/>
    <w:rsid w:val="0066723B"/>
    <w:rsid w:val="00667610"/>
    <w:rsid w:val="00671AC7"/>
    <w:rsid w:val="00672C16"/>
    <w:rsid w:val="00673701"/>
    <w:rsid w:val="00674433"/>
    <w:rsid w:val="00676222"/>
    <w:rsid w:val="00676A85"/>
    <w:rsid w:val="00683B54"/>
    <w:rsid w:val="0068442A"/>
    <w:rsid w:val="00684AE9"/>
    <w:rsid w:val="006876C4"/>
    <w:rsid w:val="00693B52"/>
    <w:rsid w:val="00694E97"/>
    <w:rsid w:val="00695767"/>
    <w:rsid w:val="0069706C"/>
    <w:rsid w:val="006A34DD"/>
    <w:rsid w:val="006A39EE"/>
    <w:rsid w:val="006A3EF9"/>
    <w:rsid w:val="006A55D6"/>
    <w:rsid w:val="006A6242"/>
    <w:rsid w:val="006A65FC"/>
    <w:rsid w:val="006A6BFA"/>
    <w:rsid w:val="006A71B8"/>
    <w:rsid w:val="006A7A5A"/>
    <w:rsid w:val="006A7CF2"/>
    <w:rsid w:val="006B0914"/>
    <w:rsid w:val="006B2B91"/>
    <w:rsid w:val="006B4D8E"/>
    <w:rsid w:val="006B4EFA"/>
    <w:rsid w:val="006B5D65"/>
    <w:rsid w:val="006B73D0"/>
    <w:rsid w:val="006C064B"/>
    <w:rsid w:val="006C14E3"/>
    <w:rsid w:val="006C7CFB"/>
    <w:rsid w:val="006D1E9D"/>
    <w:rsid w:val="006D2E7D"/>
    <w:rsid w:val="006D77B1"/>
    <w:rsid w:val="006E1C57"/>
    <w:rsid w:val="006E30A2"/>
    <w:rsid w:val="006E4132"/>
    <w:rsid w:val="006E4E04"/>
    <w:rsid w:val="006F17AC"/>
    <w:rsid w:val="006F4F8B"/>
    <w:rsid w:val="006F51C1"/>
    <w:rsid w:val="006F54FA"/>
    <w:rsid w:val="006F788F"/>
    <w:rsid w:val="006F7D57"/>
    <w:rsid w:val="00702A22"/>
    <w:rsid w:val="0070508F"/>
    <w:rsid w:val="007107BD"/>
    <w:rsid w:val="00711CC5"/>
    <w:rsid w:val="0071674A"/>
    <w:rsid w:val="00717CB0"/>
    <w:rsid w:val="00720036"/>
    <w:rsid w:val="00720C95"/>
    <w:rsid w:val="007216D8"/>
    <w:rsid w:val="007248F3"/>
    <w:rsid w:val="00725205"/>
    <w:rsid w:val="007266AC"/>
    <w:rsid w:val="00727FFC"/>
    <w:rsid w:val="007308E9"/>
    <w:rsid w:val="00732E7E"/>
    <w:rsid w:val="00733F31"/>
    <w:rsid w:val="007340AC"/>
    <w:rsid w:val="0073442D"/>
    <w:rsid w:val="0073568B"/>
    <w:rsid w:val="00736510"/>
    <w:rsid w:val="00740A78"/>
    <w:rsid w:val="00741824"/>
    <w:rsid w:val="0074312F"/>
    <w:rsid w:val="00747542"/>
    <w:rsid w:val="00747B61"/>
    <w:rsid w:val="007513E4"/>
    <w:rsid w:val="007515AF"/>
    <w:rsid w:val="007517EE"/>
    <w:rsid w:val="0075448C"/>
    <w:rsid w:val="0075554E"/>
    <w:rsid w:val="00760CEE"/>
    <w:rsid w:val="00760F45"/>
    <w:rsid w:val="007619F0"/>
    <w:rsid w:val="0076300E"/>
    <w:rsid w:val="00763651"/>
    <w:rsid w:val="007637DE"/>
    <w:rsid w:val="00764012"/>
    <w:rsid w:val="00766792"/>
    <w:rsid w:val="00767F20"/>
    <w:rsid w:val="007708F0"/>
    <w:rsid w:val="007739C6"/>
    <w:rsid w:val="0077466E"/>
    <w:rsid w:val="00776953"/>
    <w:rsid w:val="00782433"/>
    <w:rsid w:val="0078483E"/>
    <w:rsid w:val="00785135"/>
    <w:rsid w:val="00785E1E"/>
    <w:rsid w:val="00786062"/>
    <w:rsid w:val="00792659"/>
    <w:rsid w:val="00793792"/>
    <w:rsid w:val="007937CB"/>
    <w:rsid w:val="00795377"/>
    <w:rsid w:val="00797693"/>
    <w:rsid w:val="007A038F"/>
    <w:rsid w:val="007A1A4D"/>
    <w:rsid w:val="007A5CB8"/>
    <w:rsid w:val="007A6FC9"/>
    <w:rsid w:val="007A7E2A"/>
    <w:rsid w:val="007B072F"/>
    <w:rsid w:val="007B0ADB"/>
    <w:rsid w:val="007B3500"/>
    <w:rsid w:val="007B47E7"/>
    <w:rsid w:val="007B6B37"/>
    <w:rsid w:val="007B7CFA"/>
    <w:rsid w:val="007B7E73"/>
    <w:rsid w:val="007C1799"/>
    <w:rsid w:val="007C2CE8"/>
    <w:rsid w:val="007C4AA5"/>
    <w:rsid w:val="007C5069"/>
    <w:rsid w:val="007C5380"/>
    <w:rsid w:val="007C7097"/>
    <w:rsid w:val="007C730A"/>
    <w:rsid w:val="007C7768"/>
    <w:rsid w:val="007D16E2"/>
    <w:rsid w:val="007D2B7A"/>
    <w:rsid w:val="007D5BBD"/>
    <w:rsid w:val="007E2A25"/>
    <w:rsid w:val="007E3291"/>
    <w:rsid w:val="007E41E6"/>
    <w:rsid w:val="007E77C5"/>
    <w:rsid w:val="007F1805"/>
    <w:rsid w:val="007F1F47"/>
    <w:rsid w:val="007F7077"/>
    <w:rsid w:val="007F7EE1"/>
    <w:rsid w:val="00804D4C"/>
    <w:rsid w:val="008111FF"/>
    <w:rsid w:val="00811B89"/>
    <w:rsid w:val="00812CD2"/>
    <w:rsid w:val="00812D99"/>
    <w:rsid w:val="00813973"/>
    <w:rsid w:val="008158A7"/>
    <w:rsid w:val="008213D6"/>
    <w:rsid w:val="00821C88"/>
    <w:rsid w:val="00821F63"/>
    <w:rsid w:val="00826257"/>
    <w:rsid w:val="0082690F"/>
    <w:rsid w:val="0083081F"/>
    <w:rsid w:val="00830C88"/>
    <w:rsid w:val="00831122"/>
    <w:rsid w:val="00832318"/>
    <w:rsid w:val="00832D45"/>
    <w:rsid w:val="00833D6B"/>
    <w:rsid w:val="00836C72"/>
    <w:rsid w:val="00840978"/>
    <w:rsid w:val="00840BF9"/>
    <w:rsid w:val="00843E75"/>
    <w:rsid w:val="0084472A"/>
    <w:rsid w:val="00844B0E"/>
    <w:rsid w:val="00846C34"/>
    <w:rsid w:val="008513BF"/>
    <w:rsid w:val="0085168A"/>
    <w:rsid w:val="00851A61"/>
    <w:rsid w:val="00853BD9"/>
    <w:rsid w:val="00854AC7"/>
    <w:rsid w:val="00855458"/>
    <w:rsid w:val="008565F3"/>
    <w:rsid w:val="0086034D"/>
    <w:rsid w:val="00862096"/>
    <w:rsid w:val="00862293"/>
    <w:rsid w:val="00862EAA"/>
    <w:rsid w:val="008646B3"/>
    <w:rsid w:val="00867CFE"/>
    <w:rsid w:val="008715A3"/>
    <w:rsid w:val="00872AA8"/>
    <w:rsid w:val="00872C75"/>
    <w:rsid w:val="00872D62"/>
    <w:rsid w:val="0087330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3E40"/>
    <w:rsid w:val="008A741A"/>
    <w:rsid w:val="008B0746"/>
    <w:rsid w:val="008B0E79"/>
    <w:rsid w:val="008B1714"/>
    <w:rsid w:val="008B206A"/>
    <w:rsid w:val="008B39EF"/>
    <w:rsid w:val="008C0EA5"/>
    <w:rsid w:val="008C10A3"/>
    <w:rsid w:val="008C1689"/>
    <w:rsid w:val="008C1BF0"/>
    <w:rsid w:val="008C2016"/>
    <w:rsid w:val="008C2452"/>
    <w:rsid w:val="008C313E"/>
    <w:rsid w:val="008C6862"/>
    <w:rsid w:val="008C771D"/>
    <w:rsid w:val="008D0867"/>
    <w:rsid w:val="008D10C9"/>
    <w:rsid w:val="008D1562"/>
    <w:rsid w:val="008D25D1"/>
    <w:rsid w:val="008D344E"/>
    <w:rsid w:val="008D57EC"/>
    <w:rsid w:val="008D5AE0"/>
    <w:rsid w:val="008D7519"/>
    <w:rsid w:val="008E35CC"/>
    <w:rsid w:val="008E38E3"/>
    <w:rsid w:val="008E4C09"/>
    <w:rsid w:val="008E72A1"/>
    <w:rsid w:val="008E747B"/>
    <w:rsid w:val="008F1863"/>
    <w:rsid w:val="008F2833"/>
    <w:rsid w:val="008F779B"/>
    <w:rsid w:val="0090130A"/>
    <w:rsid w:val="00903800"/>
    <w:rsid w:val="00905118"/>
    <w:rsid w:val="00906BFC"/>
    <w:rsid w:val="009074A7"/>
    <w:rsid w:val="00910A21"/>
    <w:rsid w:val="009145B1"/>
    <w:rsid w:val="0091472C"/>
    <w:rsid w:val="0091667D"/>
    <w:rsid w:val="0091704C"/>
    <w:rsid w:val="009206DF"/>
    <w:rsid w:val="0092463C"/>
    <w:rsid w:val="00925B98"/>
    <w:rsid w:val="009271FB"/>
    <w:rsid w:val="00930ACA"/>
    <w:rsid w:val="009312B4"/>
    <w:rsid w:val="00935D62"/>
    <w:rsid w:val="0094036B"/>
    <w:rsid w:val="00940FB2"/>
    <w:rsid w:val="00946989"/>
    <w:rsid w:val="009508FB"/>
    <w:rsid w:val="00950A16"/>
    <w:rsid w:val="00953947"/>
    <w:rsid w:val="00953CE3"/>
    <w:rsid w:val="0095444B"/>
    <w:rsid w:val="00956103"/>
    <w:rsid w:val="009572BA"/>
    <w:rsid w:val="009575D9"/>
    <w:rsid w:val="00962923"/>
    <w:rsid w:val="009633C7"/>
    <w:rsid w:val="00964895"/>
    <w:rsid w:val="009670ED"/>
    <w:rsid w:val="0096746F"/>
    <w:rsid w:val="00967537"/>
    <w:rsid w:val="00970316"/>
    <w:rsid w:val="009703E9"/>
    <w:rsid w:val="00971598"/>
    <w:rsid w:val="00973D6A"/>
    <w:rsid w:val="0097496F"/>
    <w:rsid w:val="0098200B"/>
    <w:rsid w:val="00982F53"/>
    <w:rsid w:val="00983AE5"/>
    <w:rsid w:val="0098430E"/>
    <w:rsid w:val="00984B83"/>
    <w:rsid w:val="00985359"/>
    <w:rsid w:val="00990A4C"/>
    <w:rsid w:val="009923C9"/>
    <w:rsid w:val="00994D59"/>
    <w:rsid w:val="00996004"/>
    <w:rsid w:val="00996D0A"/>
    <w:rsid w:val="009971FE"/>
    <w:rsid w:val="009A0002"/>
    <w:rsid w:val="009A13FA"/>
    <w:rsid w:val="009A746D"/>
    <w:rsid w:val="009B1172"/>
    <w:rsid w:val="009B4B0D"/>
    <w:rsid w:val="009B50C5"/>
    <w:rsid w:val="009B5310"/>
    <w:rsid w:val="009B7F11"/>
    <w:rsid w:val="009C03C9"/>
    <w:rsid w:val="009C53BF"/>
    <w:rsid w:val="009C6F92"/>
    <w:rsid w:val="009D1392"/>
    <w:rsid w:val="009D16AD"/>
    <w:rsid w:val="009D1BCB"/>
    <w:rsid w:val="009D4C94"/>
    <w:rsid w:val="009D5C4C"/>
    <w:rsid w:val="009E02CE"/>
    <w:rsid w:val="009E08FC"/>
    <w:rsid w:val="009E2763"/>
    <w:rsid w:val="009E37DD"/>
    <w:rsid w:val="009E670A"/>
    <w:rsid w:val="009E6B1D"/>
    <w:rsid w:val="009F057F"/>
    <w:rsid w:val="009F172E"/>
    <w:rsid w:val="009F2901"/>
    <w:rsid w:val="009F48C5"/>
    <w:rsid w:val="009F50EA"/>
    <w:rsid w:val="009F593D"/>
    <w:rsid w:val="009F6011"/>
    <w:rsid w:val="00A0185B"/>
    <w:rsid w:val="00A02201"/>
    <w:rsid w:val="00A041B0"/>
    <w:rsid w:val="00A0438F"/>
    <w:rsid w:val="00A05395"/>
    <w:rsid w:val="00A061E8"/>
    <w:rsid w:val="00A106B2"/>
    <w:rsid w:val="00A10B2B"/>
    <w:rsid w:val="00A13C4B"/>
    <w:rsid w:val="00A13DA4"/>
    <w:rsid w:val="00A144B7"/>
    <w:rsid w:val="00A16697"/>
    <w:rsid w:val="00A16AED"/>
    <w:rsid w:val="00A174C9"/>
    <w:rsid w:val="00A17F45"/>
    <w:rsid w:val="00A20D0F"/>
    <w:rsid w:val="00A23429"/>
    <w:rsid w:val="00A24408"/>
    <w:rsid w:val="00A32359"/>
    <w:rsid w:val="00A3332C"/>
    <w:rsid w:val="00A33557"/>
    <w:rsid w:val="00A33958"/>
    <w:rsid w:val="00A3453F"/>
    <w:rsid w:val="00A3467A"/>
    <w:rsid w:val="00A35449"/>
    <w:rsid w:val="00A36451"/>
    <w:rsid w:val="00A40659"/>
    <w:rsid w:val="00A41E2B"/>
    <w:rsid w:val="00A43E93"/>
    <w:rsid w:val="00A4443B"/>
    <w:rsid w:val="00A44CE5"/>
    <w:rsid w:val="00A44FC8"/>
    <w:rsid w:val="00A455D2"/>
    <w:rsid w:val="00A52703"/>
    <w:rsid w:val="00A55A85"/>
    <w:rsid w:val="00A564C5"/>
    <w:rsid w:val="00A56DF7"/>
    <w:rsid w:val="00A57634"/>
    <w:rsid w:val="00A579FE"/>
    <w:rsid w:val="00A57EDC"/>
    <w:rsid w:val="00A62846"/>
    <w:rsid w:val="00A62A5D"/>
    <w:rsid w:val="00A64AB3"/>
    <w:rsid w:val="00A66857"/>
    <w:rsid w:val="00A66D27"/>
    <w:rsid w:val="00A677DD"/>
    <w:rsid w:val="00A70AD4"/>
    <w:rsid w:val="00A71AE6"/>
    <w:rsid w:val="00A7455E"/>
    <w:rsid w:val="00A74AA9"/>
    <w:rsid w:val="00A757FA"/>
    <w:rsid w:val="00A75C10"/>
    <w:rsid w:val="00A77B26"/>
    <w:rsid w:val="00A84398"/>
    <w:rsid w:val="00A843C8"/>
    <w:rsid w:val="00A86197"/>
    <w:rsid w:val="00A949CA"/>
    <w:rsid w:val="00A94DBB"/>
    <w:rsid w:val="00A9563C"/>
    <w:rsid w:val="00A975CC"/>
    <w:rsid w:val="00AA22F8"/>
    <w:rsid w:val="00AA30E8"/>
    <w:rsid w:val="00AA538F"/>
    <w:rsid w:val="00AA5713"/>
    <w:rsid w:val="00AA74D0"/>
    <w:rsid w:val="00AB0506"/>
    <w:rsid w:val="00AB1EC6"/>
    <w:rsid w:val="00AB2FE6"/>
    <w:rsid w:val="00AB3AE8"/>
    <w:rsid w:val="00AB3B2C"/>
    <w:rsid w:val="00AB4171"/>
    <w:rsid w:val="00AB575C"/>
    <w:rsid w:val="00AB5E87"/>
    <w:rsid w:val="00AB73A2"/>
    <w:rsid w:val="00AC4AF7"/>
    <w:rsid w:val="00AC5B2F"/>
    <w:rsid w:val="00AC660A"/>
    <w:rsid w:val="00AD53EE"/>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6AB5"/>
    <w:rsid w:val="00B0759C"/>
    <w:rsid w:val="00B077F6"/>
    <w:rsid w:val="00B07DC1"/>
    <w:rsid w:val="00B07E8C"/>
    <w:rsid w:val="00B12200"/>
    <w:rsid w:val="00B13F55"/>
    <w:rsid w:val="00B148DB"/>
    <w:rsid w:val="00B17431"/>
    <w:rsid w:val="00B2025F"/>
    <w:rsid w:val="00B21C2D"/>
    <w:rsid w:val="00B220E6"/>
    <w:rsid w:val="00B27DB4"/>
    <w:rsid w:val="00B3139D"/>
    <w:rsid w:val="00B31B49"/>
    <w:rsid w:val="00B32991"/>
    <w:rsid w:val="00B33085"/>
    <w:rsid w:val="00B4136B"/>
    <w:rsid w:val="00B418A6"/>
    <w:rsid w:val="00B44A85"/>
    <w:rsid w:val="00B45381"/>
    <w:rsid w:val="00B453FF"/>
    <w:rsid w:val="00B46597"/>
    <w:rsid w:val="00B53B7E"/>
    <w:rsid w:val="00B57451"/>
    <w:rsid w:val="00B6040E"/>
    <w:rsid w:val="00B66C9B"/>
    <w:rsid w:val="00B674B4"/>
    <w:rsid w:val="00B71A82"/>
    <w:rsid w:val="00B71BFF"/>
    <w:rsid w:val="00B71FE3"/>
    <w:rsid w:val="00B73239"/>
    <w:rsid w:val="00B75B79"/>
    <w:rsid w:val="00B80EDD"/>
    <w:rsid w:val="00B81131"/>
    <w:rsid w:val="00B828D6"/>
    <w:rsid w:val="00B87B88"/>
    <w:rsid w:val="00B91FDB"/>
    <w:rsid w:val="00B92053"/>
    <w:rsid w:val="00B934B1"/>
    <w:rsid w:val="00B94734"/>
    <w:rsid w:val="00B95211"/>
    <w:rsid w:val="00B97F93"/>
    <w:rsid w:val="00BA1B41"/>
    <w:rsid w:val="00BA2BD3"/>
    <w:rsid w:val="00BA32C6"/>
    <w:rsid w:val="00BA4CEB"/>
    <w:rsid w:val="00BA66CA"/>
    <w:rsid w:val="00BA747D"/>
    <w:rsid w:val="00BA7FBE"/>
    <w:rsid w:val="00BB0436"/>
    <w:rsid w:val="00BB52AE"/>
    <w:rsid w:val="00BB5F60"/>
    <w:rsid w:val="00BB63F9"/>
    <w:rsid w:val="00BB65C2"/>
    <w:rsid w:val="00BC0B5A"/>
    <w:rsid w:val="00BC1E91"/>
    <w:rsid w:val="00BC4270"/>
    <w:rsid w:val="00BD0E0C"/>
    <w:rsid w:val="00BD5A79"/>
    <w:rsid w:val="00BD6D0D"/>
    <w:rsid w:val="00BD6F10"/>
    <w:rsid w:val="00BD7F57"/>
    <w:rsid w:val="00BE0687"/>
    <w:rsid w:val="00BE11D3"/>
    <w:rsid w:val="00BE2296"/>
    <w:rsid w:val="00BE3A1C"/>
    <w:rsid w:val="00BE5A3A"/>
    <w:rsid w:val="00BE6DD2"/>
    <w:rsid w:val="00BE77A5"/>
    <w:rsid w:val="00BF37AC"/>
    <w:rsid w:val="00BF3B43"/>
    <w:rsid w:val="00BF3BF7"/>
    <w:rsid w:val="00BF6466"/>
    <w:rsid w:val="00BF6788"/>
    <w:rsid w:val="00C00379"/>
    <w:rsid w:val="00C0094F"/>
    <w:rsid w:val="00C010EE"/>
    <w:rsid w:val="00C02450"/>
    <w:rsid w:val="00C02E84"/>
    <w:rsid w:val="00C052FB"/>
    <w:rsid w:val="00C15736"/>
    <w:rsid w:val="00C17525"/>
    <w:rsid w:val="00C2187F"/>
    <w:rsid w:val="00C21B8B"/>
    <w:rsid w:val="00C2324D"/>
    <w:rsid w:val="00C252D8"/>
    <w:rsid w:val="00C310EF"/>
    <w:rsid w:val="00C31907"/>
    <w:rsid w:val="00C31A8D"/>
    <w:rsid w:val="00C323C7"/>
    <w:rsid w:val="00C3451B"/>
    <w:rsid w:val="00C35796"/>
    <w:rsid w:val="00C36497"/>
    <w:rsid w:val="00C3703C"/>
    <w:rsid w:val="00C371F8"/>
    <w:rsid w:val="00C37E63"/>
    <w:rsid w:val="00C40593"/>
    <w:rsid w:val="00C40898"/>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E93"/>
    <w:rsid w:val="00C71E59"/>
    <w:rsid w:val="00C72C3F"/>
    <w:rsid w:val="00C768D6"/>
    <w:rsid w:val="00C76B59"/>
    <w:rsid w:val="00C807C0"/>
    <w:rsid w:val="00C80D8E"/>
    <w:rsid w:val="00C82AC8"/>
    <w:rsid w:val="00C83C67"/>
    <w:rsid w:val="00C855DC"/>
    <w:rsid w:val="00C85987"/>
    <w:rsid w:val="00C87D1E"/>
    <w:rsid w:val="00C87F7B"/>
    <w:rsid w:val="00C9030A"/>
    <w:rsid w:val="00C90695"/>
    <w:rsid w:val="00C91005"/>
    <w:rsid w:val="00C91A69"/>
    <w:rsid w:val="00C930CE"/>
    <w:rsid w:val="00C941C6"/>
    <w:rsid w:val="00C943ED"/>
    <w:rsid w:val="00C95235"/>
    <w:rsid w:val="00C97A15"/>
    <w:rsid w:val="00CA0E19"/>
    <w:rsid w:val="00CA1D26"/>
    <w:rsid w:val="00CA1EEF"/>
    <w:rsid w:val="00CA4511"/>
    <w:rsid w:val="00CA5650"/>
    <w:rsid w:val="00CA5CC1"/>
    <w:rsid w:val="00CB2C64"/>
    <w:rsid w:val="00CB5317"/>
    <w:rsid w:val="00CB7481"/>
    <w:rsid w:val="00CC02BF"/>
    <w:rsid w:val="00CC2093"/>
    <w:rsid w:val="00CD1DC3"/>
    <w:rsid w:val="00CD235E"/>
    <w:rsid w:val="00CD6FAF"/>
    <w:rsid w:val="00CD7629"/>
    <w:rsid w:val="00CE25EE"/>
    <w:rsid w:val="00CE2A71"/>
    <w:rsid w:val="00CE3620"/>
    <w:rsid w:val="00CE394B"/>
    <w:rsid w:val="00CE3CDA"/>
    <w:rsid w:val="00CE4204"/>
    <w:rsid w:val="00CE5E88"/>
    <w:rsid w:val="00CE6FD3"/>
    <w:rsid w:val="00CE6FDD"/>
    <w:rsid w:val="00CF15E2"/>
    <w:rsid w:val="00CF1B7F"/>
    <w:rsid w:val="00CF24FF"/>
    <w:rsid w:val="00CF34ED"/>
    <w:rsid w:val="00CF415B"/>
    <w:rsid w:val="00CF426B"/>
    <w:rsid w:val="00CF5560"/>
    <w:rsid w:val="00CF7E54"/>
    <w:rsid w:val="00D00AF8"/>
    <w:rsid w:val="00D01AB4"/>
    <w:rsid w:val="00D06D3C"/>
    <w:rsid w:val="00D13FE6"/>
    <w:rsid w:val="00D14C5A"/>
    <w:rsid w:val="00D242A3"/>
    <w:rsid w:val="00D24C58"/>
    <w:rsid w:val="00D259B8"/>
    <w:rsid w:val="00D262E2"/>
    <w:rsid w:val="00D26A6A"/>
    <w:rsid w:val="00D3321B"/>
    <w:rsid w:val="00D33380"/>
    <w:rsid w:val="00D33942"/>
    <w:rsid w:val="00D360DD"/>
    <w:rsid w:val="00D42246"/>
    <w:rsid w:val="00D4296D"/>
    <w:rsid w:val="00D436DB"/>
    <w:rsid w:val="00D44263"/>
    <w:rsid w:val="00D45106"/>
    <w:rsid w:val="00D46EFF"/>
    <w:rsid w:val="00D53DA8"/>
    <w:rsid w:val="00D60CA5"/>
    <w:rsid w:val="00D63614"/>
    <w:rsid w:val="00D637A9"/>
    <w:rsid w:val="00D655F7"/>
    <w:rsid w:val="00D65668"/>
    <w:rsid w:val="00D66104"/>
    <w:rsid w:val="00D738E8"/>
    <w:rsid w:val="00D75690"/>
    <w:rsid w:val="00D762A1"/>
    <w:rsid w:val="00D806CE"/>
    <w:rsid w:val="00D807B6"/>
    <w:rsid w:val="00D80869"/>
    <w:rsid w:val="00D8641E"/>
    <w:rsid w:val="00D87E08"/>
    <w:rsid w:val="00D90B63"/>
    <w:rsid w:val="00D9365A"/>
    <w:rsid w:val="00D93F26"/>
    <w:rsid w:val="00D96815"/>
    <w:rsid w:val="00DA1976"/>
    <w:rsid w:val="00DA1C12"/>
    <w:rsid w:val="00DA4C95"/>
    <w:rsid w:val="00DA4E19"/>
    <w:rsid w:val="00DA67D2"/>
    <w:rsid w:val="00DA6CC2"/>
    <w:rsid w:val="00DB1100"/>
    <w:rsid w:val="00DB259B"/>
    <w:rsid w:val="00DB4896"/>
    <w:rsid w:val="00DB52C6"/>
    <w:rsid w:val="00DB7060"/>
    <w:rsid w:val="00DC1553"/>
    <w:rsid w:val="00DC1E03"/>
    <w:rsid w:val="00DC2E90"/>
    <w:rsid w:val="00DC4A11"/>
    <w:rsid w:val="00DC549B"/>
    <w:rsid w:val="00DC7D69"/>
    <w:rsid w:val="00DD1E5D"/>
    <w:rsid w:val="00DD213F"/>
    <w:rsid w:val="00DD61EF"/>
    <w:rsid w:val="00DE388B"/>
    <w:rsid w:val="00DE6866"/>
    <w:rsid w:val="00DE7E8D"/>
    <w:rsid w:val="00DF0429"/>
    <w:rsid w:val="00DF129F"/>
    <w:rsid w:val="00DF2EB1"/>
    <w:rsid w:val="00DF486C"/>
    <w:rsid w:val="00DF50DC"/>
    <w:rsid w:val="00DF51BB"/>
    <w:rsid w:val="00DF54AC"/>
    <w:rsid w:val="00DF716D"/>
    <w:rsid w:val="00DF7614"/>
    <w:rsid w:val="00E00482"/>
    <w:rsid w:val="00E01233"/>
    <w:rsid w:val="00E03044"/>
    <w:rsid w:val="00E03AED"/>
    <w:rsid w:val="00E04C53"/>
    <w:rsid w:val="00E04F79"/>
    <w:rsid w:val="00E06B9F"/>
    <w:rsid w:val="00E12574"/>
    <w:rsid w:val="00E1283B"/>
    <w:rsid w:val="00E13CC7"/>
    <w:rsid w:val="00E17B78"/>
    <w:rsid w:val="00E21F2B"/>
    <w:rsid w:val="00E22106"/>
    <w:rsid w:val="00E22248"/>
    <w:rsid w:val="00E250BC"/>
    <w:rsid w:val="00E317D7"/>
    <w:rsid w:val="00E3211E"/>
    <w:rsid w:val="00E32272"/>
    <w:rsid w:val="00E32F20"/>
    <w:rsid w:val="00E3433F"/>
    <w:rsid w:val="00E3537E"/>
    <w:rsid w:val="00E35BAE"/>
    <w:rsid w:val="00E35F73"/>
    <w:rsid w:val="00E37B9A"/>
    <w:rsid w:val="00E4067D"/>
    <w:rsid w:val="00E4187B"/>
    <w:rsid w:val="00E41ADE"/>
    <w:rsid w:val="00E41C36"/>
    <w:rsid w:val="00E42E72"/>
    <w:rsid w:val="00E441BE"/>
    <w:rsid w:val="00E47245"/>
    <w:rsid w:val="00E475CE"/>
    <w:rsid w:val="00E47655"/>
    <w:rsid w:val="00E4781E"/>
    <w:rsid w:val="00E549EF"/>
    <w:rsid w:val="00E55A27"/>
    <w:rsid w:val="00E611EA"/>
    <w:rsid w:val="00E61E5F"/>
    <w:rsid w:val="00E664C5"/>
    <w:rsid w:val="00E66725"/>
    <w:rsid w:val="00E672B2"/>
    <w:rsid w:val="00E673FF"/>
    <w:rsid w:val="00E701F1"/>
    <w:rsid w:val="00E70A09"/>
    <w:rsid w:val="00E71679"/>
    <w:rsid w:val="00E721E6"/>
    <w:rsid w:val="00E73A72"/>
    <w:rsid w:val="00E765FE"/>
    <w:rsid w:val="00E80A96"/>
    <w:rsid w:val="00E83CCA"/>
    <w:rsid w:val="00E859FE"/>
    <w:rsid w:val="00E908BC"/>
    <w:rsid w:val="00E912BC"/>
    <w:rsid w:val="00E941BE"/>
    <w:rsid w:val="00E9492A"/>
    <w:rsid w:val="00E94BBE"/>
    <w:rsid w:val="00E95A44"/>
    <w:rsid w:val="00E95ED1"/>
    <w:rsid w:val="00E97CE1"/>
    <w:rsid w:val="00EA1AFE"/>
    <w:rsid w:val="00EA30E0"/>
    <w:rsid w:val="00EA33DD"/>
    <w:rsid w:val="00EA5729"/>
    <w:rsid w:val="00EB05F1"/>
    <w:rsid w:val="00EB23B0"/>
    <w:rsid w:val="00EB277C"/>
    <w:rsid w:val="00EB3C02"/>
    <w:rsid w:val="00EB6F9F"/>
    <w:rsid w:val="00EB72BA"/>
    <w:rsid w:val="00EC14E3"/>
    <w:rsid w:val="00EC1D15"/>
    <w:rsid w:val="00EC324E"/>
    <w:rsid w:val="00EC351A"/>
    <w:rsid w:val="00EC4174"/>
    <w:rsid w:val="00ED0C7B"/>
    <w:rsid w:val="00ED0F52"/>
    <w:rsid w:val="00ED34B3"/>
    <w:rsid w:val="00ED65E3"/>
    <w:rsid w:val="00ED6C19"/>
    <w:rsid w:val="00ED767D"/>
    <w:rsid w:val="00EE37E9"/>
    <w:rsid w:val="00EE633C"/>
    <w:rsid w:val="00EF09B6"/>
    <w:rsid w:val="00EF1CFE"/>
    <w:rsid w:val="00EF1FF9"/>
    <w:rsid w:val="00EF3E65"/>
    <w:rsid w:val="00EF584F"/>
    <w:rsid w:val="00EF7DCE"/>
    <w:rsid w:val="00F013FF"/>
    <w:rsid w:val="00F0373C"/>
    <w:rsid w:val="00F046C7"/>
    <w:rsid w:val="00F063E6"/>
    <w:rsid w:val="00F071C3"/>
    <w:rsid w:val="00F07CF1"/>
    <w:rsid w:val="00F12960"/>
    <w:rsid w:val="00F12FCD"/>
    <w:rsid w:val="00F14030"/>
    <w:rsid w:val="00F15220"/>
    <w:rsid w:val="00F1566F"/>
    <w:rsid w:val="00F15ABC"/>
    <w:rsid w:val="00F1796E"/>
    <w:rsid w:val="00F17971"/>
    <w:rsid w:val="00F24015"/>
    <w:rsid w:val="00F25A81"/>
    <w:rsid w:val="00F273F8"/>
    <w:rsid w:val="00F279AF"/>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4C43"/>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7093"/>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D6806"/>
    <w:rsid w:val="00FE2ED8"/>
    <w:rsid w:val="00FE4CA5"/>
    <w:rsid w:val="00FE5CB2"/>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77586"/>
  <w15:docId w15:val="{07A9E971-A6CB-43F8-B183-EDE8809E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5FC"/>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26B87"/>
    <w:rPr>
      <w:color w:val="605E5C"/>
      <w:shd w:val="clear" w:color="auto" w:fill="E1DFDD"/>
    </w:rPr>
  </w:style>
  <w:style w:type="character" w:customStyle="1" w:styleId="markedcontent">
    <w:name w:val="markedcontent"/>
    <w:basedOn w:val="Absatz-Standardschriftart"/>
    <w:rsid w:val="00286197"/>
  </w:style>
  <w:style w:type="character" w:customStyle="1" w:styleId="NichtaufgelsteErwhnung5">
    <w:name w:val="Nicht aufgelöste Erwähnung5"/>
    <w:basedOn w:val="Absatz-Standardschriftart"/>
    <w:uiPriority w:val="99"/>
    <w:semiHidden/>
    <w:unhideWhenUsed/>
    <w:rsid w:val="0076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182746730">
      <w:bodyDiv w:val="1"/>
      <w:marLeft w:val="0"/>
      <w:marRight w:val="0"/>
      <w:marTop w:val="0"/>
      <w:marBottom w:val="0"/>
      <w:divBdr>
        <w:top w:val="none" w:sz="0" w:space="0" w:color="auto"/>
        <w:left w:val="none" w:sz="0" w:space="0" w:color="auto"/>
        <w:bottom w:val="none" w:sz="0" w:space="0" w:color="auto"/>
        <w:right w:val="none" w:sz="0" w:space="0" w:color="auto"/>
      </w:divBdr>
    </w:div>
    <w:div w:id="1187131876">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931427012">
      <w:bodyDiv w:val="1"/>
      <w:marLeft w:val="0"/>
      <w:marRight w:val="0"/>
      <w:marTop w:val="0"/>
      <w:marBottom w:val="0"/>
      <w:divBdr>
        <w:top w:val="none" w:sz="0" w:space="0" w:color="auto"/>
        <w:left w:val="none" w:sz="0" w:space="0" w:color="auto"/>
        <w:bottom w:val="none" w:sz="0" w:space="0" w:color="auto"/>
        <w:right w:val="none" w:sz="0" w:space="0" w:color="auto"/>
      </w:divBdr>
    </w:div>
    <w:div w:id="199749349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anie.kloster@dres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ock@brandmedia.c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wc.com/structure" TargetMode="External"/><Relationship Id="rId4" Type="http://schemas.openxmlformats.org/officeDocument/2006/relationships/settings" Target="settings.xml"/><Relationship Id="rId9" Type="http://schemas.openxmlformats.org/officeDocument/2006/relationships/hyperlink" Target="https://pwc.sharepoint.com/sites/GBL-IFS-TNEBMC/Shared%20Documents/External%20Communications/Social%20media%20toolkit%20-%20LIVE.docx?web=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61E0-1A72-4897-9A51-C1F1A8A9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7512</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dc:description/>
  <cp:lastModifiedBy>Patrick Bock | BM</cp:lastModifiedBy>
  <cp:revision>3</cp:revision>
  <cp:lastPrinted>2022-05-18T04:37:00Z</cp:lastPrinted>
  <dcterms:created xsi:type="dcterms:W3CDTF">2022-05-18T04:37:00Z</dcterms:created>
  <dcterms:modified xsi:type="dcterms:W3CDTF">2022-05-18T04:38:00Z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