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6B3F" w14:textId="77777777" w:rsidR="008D4116" w:rsidRPr="00011774" w:rsidRDefault="008D4116" w:rsidP="008D4116">
      <w:pPr>
        <w:jc w:val="left"/>
        <w:rPr>
          <w:b/>
          <w:sz w:val="28"/>
          <w:szCs w:val="28"/>
        </w:rPr>
      </w:pPr>
      <w:r w:rsidRPr="00011774">
        <w:rPr>
          <w:b/>
          <w:sz w:val="28"/>
          <w:szCs w:val="28"/>
        </w:rPr>
        <w:t>Die digitale Zukunft des Bauens</w:t>
      </w:r>
    </w:p>
    <w:p w14:paraId="05A303AB" w14:textId="77777777" w:rsidR="008D4116" w:rsidRPr="00011774" w:rsidRDefault="008D4116" w:rsidP="008D4116">
      <w:pPr>
        <w:spacing w:line="360" w:lineRule="auto"/>
      </w:pPr>
    </w:p>
    <w:p w14:paraId="59D057F0" w14:textId="76BA0403" w:rsidR="008D4116" w:rsidRPr="00011774" w:rsidRDefault="008D4116" w:rsidP="008D4116">
      <w:pPr>
        <w:spacing w:line="360" w:lineRule="auto"/>
        <w:rPr>
          <w:b/>
        </w:rPr>
      </w:pPr>
      <w:r w:rsidRPr="00011774">
        <w:rPr>
          <w:b/>
        </w:rPr>
        <w:t>Die Zeit von Reißbrett und CAD</w:t>
      </w:r>
      <w:r w:rsidR="00E526B1">
        <w:rPr>
          <w:b/>
        </w:rPr>
        <w:t>-</w:t>
      </w:r>
      <w:r w:rsidRPr="00011774">
        <w:rPr>
          <w:b/>
        </w:rPr>
        <w:t>Systemen in der Gebäudeplanung geht vorbei. Die Zukunft des Bauens</w:t>
      </w:r>
      <w:r w:rsidR="00D938E9">
        <w:rPr>
          <w:b/>
        </w:rPr>
        <w:t>,</w:t>
      </w:r>
      <w:r w:rsidRPr="00011774">
        <w:rPr>
          <w:b/>
        </w:rPr>
        <w:t xml:space="preserve"> aber auch des Betreibens von Immobilien heißt BIM (Building Information Modeling). Dabei werden Gebäude vor dem eigentlichen Bau digital errichtet. Mit großen Vorteilen für Bauherren, Planer und Verwalter, wie Georg </w:t>
      </w:r>
      <w:proofErr w:type="spellStart"/>
      <w:r w:rsidRPr="00011774">
        <w:rPr>
          <w:b/>
        </w:rPr>
        <w:t>Stadlhofer</w:t>
      </w:r>
      <w:proofErr w:type="spellEnd"/>
      <w:r w:rsidRPr="00011774">
        <w:rPr>
          <w:b/>
        </w:rPr>
        <w:t xml:space="preserve"> </w:t>
      </w:r>
      <w:r>
        <w:rPr>
          <w:b/>
        </w:rPr>
        <w:t>von</w:t>
      </w:r>
      <w:r w:rsidRPr="00011774">
        <w:rPr>
          <w:b/>
        </w:rPr>
        <w:t xml:space="preserve"> Drees &amp; Sommer </w:t>
      </w:r>
      <w:r w:rsidR="006F491C">
        <w:rPr>
          <w:b/>
        </w:rPr>
        <w:t xml:space="preserve">Mitte Juni </w:t>
      </w:r>
      <w:r w:rsidRPr="00011774">
        <w:rPr>
          <w:b/>
        </w:rPr>
        <w:t xml:space="preserve">bei der Branchen-Veranstaltung </w:t>
      </w:r>
      <w:proofErr w:type="spellStart"/>
      <w:r w:rsidRPr="00011774">
        <w:rPr>
          <w:b/>
        </w:rPr>
        <w:t>best</w:t>
      </w:r>
      <w:proofErr w:type="spellEnd"/>
      <w:r w:rsidRPr="00011774">
        <w:rPr>
          <w:b/>
        </w:rPr>
        <w:t>(and)</w:t>
      </w:r>
      <w:proofErr w:type="spellStart"/>
      <w:r w:rsidRPr="00011774">
        <w:rPr>
          <w:b/>
        </w:rPr>
        <w:t>immo</w:t>
      </w:r>
      <w:proofErr w:type="spellEnd"/>
      <w:r w:rsidRPr="00011774">
        <w:rPr>
          <w:b/>
        </w:rPr>
        <w:t xml:space="preserve"> in Wien präsentierte.</w:t>
      </w:r>
    </w:p>
    <w:p w14:paraId="28CA8175" w14:textId="77777777" w:rsidR="008D4116" w:rsidRPr="00011774" w:rsidRDefault="008D4116" w:rsidP="008D4116">
      <w:pPr>
        <w:spacing w:line="360" w:lineRule="auto"/>
      </w:pPr>
    </w:p>
    <w:p w14:paraId="7BD53539" w14:textId="1C26EF60" w:rsidR="008D4116" w:rsidRPr="00011774" w:rsidRDefault="008D4116" w:rsidP="008D4116">
      <w:pPr>
        <w:spacing w:line="360" w:lineRule="auto"/>
      </w:pPr>
      <w:r w:rsidRPr="00011774">
        <w:t xml:space="preserve">Die Planung von Gebäuden wird immer komplexer. Immer mehr Fachleute müssen heute beigezogen werden, um ein Gebäude nach modernen Standards zu planen und zu errichten. Anforderungen an Sicherheit, Nachhaltigkeit und Effizienz steigen. Der Druck, </w:t>
      </w:r>
      <w:r>
        <w:t xml:space="preserve">dabei </w:t>
      </w:r>
      <w:r w:rsidRPr="00011774">
        <w:t>die Kosten im Rahmen zu halten, wächst.</w:t>
      </w:r>
    </w:p>
    <w:p w14:paraId="3D67D61A" w14:textId="77777777" w:rsidR="008D4116" w:rsidRPr="00011774" w:rsidRDefault="008D4116" w:rsidP="008D4116">
      <w:pPr>
        <w:spacing w:line="360" w:lineRule="auto"/>
      </w:pPr>
    </w:p>
    <w:p w14:paraId="538D69CD" w14:textId="200B75E1" w:rsidR="008D4116" w:rsidRDefault="008D4116" w:rsidP="008D4116">
      <w:pPr>
        <w:spacing w:line="360" w:lineRule="auto"/>
      </w:pPr>
      <w:r w:rsidRPr="00011774">
        <w:t>Bisher hat jeder Fachexperte eines Planungsteam</w:t>
      </w:r>
      <w:r>
        <w:t>s</w:t>
      </w:r>
      <w:r w:rsidRPr="00011774">
        <w:t xml:space="preserve"> seinen Bereich am Reißbrett und </w:t>
      </w:r>
      <w:r>
        <w:t>mit</w:t>
      </w:r>
      <w:r w:rsidRPr="00011774">
        <w:t xml:space="preserve"> speziellen Computerprogrammen geplant und seine Entwürfe dann an andere Experten im Team weitergereicht. Diese haben darauf weitergeplant und ihre Pläne wieder weitergegeben, bis jeder Experte seinen Teil erfüllt hatte. „Diese Zeiten gehen gerade zu Ende“, erklärt Georg </w:t>
      </w:r>
      <w:proofErr w:type="spellStart"/>
      <w:r w:rsidRPr="00011774">
        <w:t>Stadlhofer</w:t>
      </w:r>
      <w:proofErr w:type="spellEnd"/>
      <w:r>
        <w:t>,</w:t>
      </w:r>
      <w:r w:rsidRPr="00011774">
        <w:t xml:space="preserve"> </w:t>
      </w:r>
      <w:r>
        <w:t>Mitglied der Geschäftsführung von Drees &amp; Sommer Österreich</w:t>
      </w:r>
      <w:r w:rsidR="00283FBA">
        <w:t xml:space="preserve"> </w:t>
      </w:r>
      <w:r w:rsidR="00283FBA" w:rsidRPr="00283FBA">
        <w:t>–</w:t>
      </w:r>
      <w:r w:rsidRPr="008C47DD">
        <w:t xml:space="preserve"> einem führenden Immobilien-Beratungsunternehmen, auf das zahlreiche Innovationen in der Immobilienwirtschaft </w:t>
      </w:r>
      <w:r>
        <w:t>zurückgehen</w:t>
      </w:r>
      <w:r w:rsidR="00283FBA">
        <w:t xml:space="preserve"> </w:t>
      </w:r>
      <w:r w:rsidR="00283FBA" w:rsidRPr="00283FBA">
        <w:t>–</w:t>
      </w:r>
      <w:r w:rsidR="00283FBA">
        <w:t>,</w:t>
      </w:r>
      <w:r w:rsidR="00283FBA" w:rsidRPr="00283FBA">
        <w:t xml:space="preserve"> </w:t>
      </w:r>
      <w:r w:rsidRPr="00011774">
        <w:t xml:space="preserve">beim Branchentreff </w:t>
      </w:r>
      <w:proofErr w:type="spellStart"/>
      <w:r w:rsidRPr="00011774">
        <w:t>best</w:t>
      </w:r>
      <w:proofErr w:type="spellEnd"/>
      <w:r w:rsidRPr="00011774">
        <w:t>(and)</w:t>
      </w:r>
      <w:proofErr w:type="spellStart"/>
      <w:r w:rsidRPr="00011774">
        <w:t>immo</w:t>
      </w:r>
      <w:proofErr w:type="spellEnd"/>
      <w:r w:rsidRPr="00011774">
        <w:t xml:space="preserve"> </w:t>
      </w:r>
      <w:r w:rsidR="00283FBA">
        <w:t>diese Woche</w:t>
      </w:r>
      <w:r>
        <w:t xml:space="preserve"> </w:t>
      </w:r>
      <w:r w:rsidRPr="00011774">
        <w:t xml:space="preserve">in Wien. </w:t>
      </w:r>
    </w:p>
    <w:p w14:paraId="7320CCD0" w14:textId="77777777" w:rsidR="008D4116" w:rsidRDefault="008D4116" w:rsidP="008D4116">
      <w:pPr>
        <w:spacing w:line="360" w:lineRule="auto"/>
      </w:pPr>
    </w:p>
    <w:p w14:paraId="4C5E449E" w14:textId="77777777" w:rsidR="008D4116" w:rsidRPr="00011774" w:rsidRDefault="008D4116" w:rsidP="008D4116">
      <w:pPr>
        <w:spacing w:line="360" w:lineRule="auto"/>
        <w:rPr>
          <w:b/>
          <w:lang w:val="de-AT"/>
        </w:rPr>
      </w:pPr>
      <w:r w:rsidRPr="00011774">
        <w:rPr>
          <w:b/>
          <w:lang w:val="de-AT"/>
        </w:rPr>
        <w:t>Zuerst digital, dann real</w:t>
      </w:r>
    </w:p>
    <w:p w14:paraId="577B4161" w14:textId="20DB7E43" w:rsidR="008D4116" w:rsidRPr="008C47DD" w:rsidRDefault="008D4116" w:rsidP="008D4116">
      <w:pPr>
        <w:spacing w:line="360" w:lineRule="auto"/>
      </w:pPr>
      <w:r w:rsidRPr="00011774">
        <w:t>„</w:t>
      </w:r>
      <w:r w:rsidRPr="008C47DD">
        <w:t xml:space="preserve">Wir gehen einen Schritt weiter und planen in einem digitalen Modell mit digitalen Bau-Elementen: Das heißt, </w:t>
      </w:r>
      <w:r>
        <w:t>man nimmt</w:t>
      </w:r>
      <w:r w:rsidRPr="008C47DD">
        <w:t xml:space="preserve"> sich eine Wand, eine Tür, eine Innenwand oder eine Decke und setz</w:t>
      </w:r>
      <w:r>
        <w:t>t</w:t>
      </w:r>
      <w:r w:rsidRPr="008C47DD">
        <w:t xml:space="preserve"> das Gebäude in einem 3D</w:t>
      </w:r>
      <w:r w:rsidR="006749D2">
        <w:t>-</w:t>
      </w:r>
      <w:r w:rsidRPr="008C47DD">
        <w:t xml:space="preserve">Modell zusammen, sodass am Ende des Planungsprozesses das gesamte Gebäude mit allem Drum und Dran digital errichtet </w:t>
      </w:r>
      <w:r>
        <w:t>ist</w:t>
      </w:r>
      <w:r w:rsidRPr="008C47DD">
        <w:t xml:space="preserve">. Alle Planer arbeiten dabei zentral und koordiniert in </w:t>
      </w:r>
      <w:r>
        <w:t>diesem eine</w:t>
      </w:r>
      <w:r w:rsidR="00F666B2">
        <w:t>n</w:t>
      </w:r>
      <w:bookmarkStart w:id="0" w:name="_GoBack"/>
      <w:bookmarkEnd w:id="0"/>
      <w:r w:rsidRPr="008C47DD">
        <w:t xml:space="preserve"> digitalen Modell.“</w:t>
      </w:r>
    </w:p>
    <w:p w14:paraId="4083F37A" w14:textId="77777777" w:rsidR="008D4116" w:rsidRDefault="008D4116" w:rsidP="008D4116">
      <w:pPr>
        <w:spacing w:line="360" w:lineRule="auto"/>
        <w:rPr>
          <w:lang w:val="de-AT"/>
        </w:rPr>
      </w:pPr>
    </w:p>
    <w:p w14:paraId="366303CE" w14:textId="1D555644" w:rsidR="008D4116" w:rsidRDefault="008D4116" w:rsidP="008D4116">
      <w:pPr>
        <w:spacing w:line="360" w:lineRule="auto"/>
        <w:rPr>
          <w:lang w:val="de-AT"/>
        </w:rPr>
      </w:pPr>
      <w:proofErr w:type="spellStart"/>
      <w:r w:rsidRPr="00011774">
        <w:rPr>
          <w:lang w:val="de-AT"/>
        </w:rPr>
        <w:t>Stadlhofer</w:t>
      </w:r>
      <w:proofErr w:type="spellEnd"/>
      <w:r w:rsidRPr="00011774">
        <w:rPr>
          <w:lang w:val="de-AT"/>
        </w:rPr>
        <w:t xml:space="preserve"> spricht vom „</w:t>
      </w:r>
      <w:proofErr w:type="spellStart"/>
      <w:r w:rsidR="006749D2">
        <w:rPr>
          <w:lang w:val="de-AT"/>
        </w:rPr>
        <w:t>B</w:t>
      </w:r>
      <w:r w:rsidRPr="00011774">
        <w:rPr>
          <w:lang w:val="de-AT"/>
        </w:rPr>
        <w:t>uild</w:t>
      </w:r>
      <w:proofErr w:type="spellEnd"/>
      <w:r w:rsidRPr="00011774">
        <w:rPr>
          <w:lang w:val="de-AT"/>
        </w:rPr>
        <w:t xml:space="preserve"> </w:t>
      </w:r>
      <w:proofErr w:type="spellStart"/>
      <w:r w:rsidRPr="00011774">
        <w:rPr>
          <w:lang w:val="de-AT"/>
        </w:rPr>
        <w:t>it</w:t>
      </w:r>
      <w:proofErr w:type="spellEnd"/>
      <w:r w:rsidRPr="00011774">
        <w:rPr>
          <w:lang w:val="de-AT"/>
        </w:rPr>
        <w:t xml:space="preserve"> </w:t>
      </w:r>
      <w:proofErr w:type="spellStart"/>
      <w:r w:rsidRPr="00011774">
        <w:rPr>
          <w:lang w:val="de-AT"/>
        </w:rPr>
        <w:t>twice</w:t>
      </w:r>
      <w:proofErr w:type="spellEnd"/>
      <w:r w:rsidRPr="00011774">
        <w:rPr>
          <w:lang w:val="de-AT"/>
        </w:rPr>
        <w:t xml:space="preserve">“-Prinzip: „Baue es zwei Mal, zuerst digital, dann real“. Der Vorteil ist, dass </w:t>
      </w:r>
      <w:r w:rsidR="006749D2">
        <w:rPr>
          <w:lang w:val="de-AT"/>
        </w:rPr>
        <w:t xml:space="preserve">man sich </w:t>
      </w:r>
      <w:r w:rsidRPr="00011774">
        <w:rPr>
          <w:lang w:val="de-AT"/>
        </w:rPr>
        <w:t>das Gebäude</w:t>
      </w:r>
      <w:r w:rsidR="006749D2">
        <w:rPr>
          <w:lang w:val="de-AT"/>
        </w:rPr>
        <w:t xml:space="preserve">, </w:t>
      </w:r>
      <w:r w:rsidR="006749D2" w:rsidRPr="00011774">
        <w:rPr>
          <w:lang w:val="de-AT"/>
        </w:rPr>
        <w:t>schon bevor</w:t>
      </w:r>
      <w:r w:rsidR="006749D2">
        <w:rPr>
          <w:lang w:val="de-AT"/>
        </w:rPr>
        <w:t xml:space="preserve"> es</w:t>
      </w:r>
      <w:r w:rsidRPr="00011774">
        <w:rPr>
          <w:lang w:val="de-AT"/>
        </w:rPr>
        <w:t xml:space="preserve"> errichtet ist, bis ins kleinste Detail ansehen kann. „</w:t>
      </w:r>
      <w:r>
        <w:rPr>
          <w:lang w:val="de-AT"/>
        </w:rPr>
        <w:t>Man kann</w:t>
      </w:r>
      <w:r w:rsidRPr="00011774">
        <w:rPr>
          <w:lang w:val="de-AT"/>
        </w:rPr>
        <w:t xml:space="preserve"> durch das Gebäude gehen. </w:t>
      </w:r>
      <w:r>
        <w:rPr>
          <w:lang w:val="de-AT"/>
        </w:rPr>
        <w:t>Man kann</w:t>
      </w:r>
      <w:r w:rsidRPr="00011774">
        <w:rPr>
          <w:lang w:val="de-AT"/>
        </w:rPr>
        <w:t xml:space="preserve"> gewisse Anwendungsfälle simulieren. </w:t>
      </w:r>
      <w:r>
        <w:rPr>
          <w:lang w:val="de-AT"/>
        </w:rPr>
        <w:t>Man weiß</w:t>
      </w:r>
      <w:r w:rsidRPr="00011774">
        <w:rPr>
          <w:lang w:val="de-AT"/>
        </w:rPr>
        <w:t xml:space="preserve"> auch</w:t>
      </w:r>
      <w:r w:rsidR="00DA4CFF">
        <w:rPr>
          <w:lang w:val="de-AT"/>
        </w:rPr>
        <w:t>,</w:t>
      </w:r>
      <w:r w:rsidRPr="00011774">
        <w:rPr>
          <w:lang w:val="de-AT"/>
        </w:rPr>
        <w:t xml:space="preserve"> was der Betrieb </w:t>
      </w:r>
      <w:proofErr w:type="gramStart"/>
      <w:r w:rsidRPr="00011774">
        <w:rPr>
          <w:lang w:val="de-AT"/>
        </w:rPr>
        <w:t>kosten</w:t>
      </w:r>
      <w:proofErr w:type="gramEnd"/>
      <w:r w:rsidRPr="00011774">
        <w:rPr>
          <w:lang w:val="de-AT"/>
        </w:rPr>
        <w:t xml:space="preserve"> und w</w:t>
      </w:r>
      <w:r>
        <w:rPr>
          <w:lang w:val="de-AT"/>
        </w:rPr>
        <w:t>ie das Gebäude</w:t>
      </w:r>
      <w:r w:rsidRPr="00011774">
        <w:rPr>
          <w:lang w:val="de-AT"/>
        </w:rPr>
        <w:t xml:space="preserve"> funktionieren wird. Dadurch wird die Entscheidungsqualität im Planungsprozess deutlich höher. Fehler können schon im Vorfeld behoben </w:t>
      </w:r>
      <w:r w:rsidRPr="00011774">
        <w:rPr>
          <w:lang w:val="de-AT"/>
        </w:rPr>
        <w:lastRenderedPageBreak/>
        <w:t xml:space="preserve">werden“, so </w:t>
      </w:r>
      <w:proofErr w:type="spellStart"/>
      <w:r w:rsidRPr="00011774">
        <w:rPr>
          <w:lang w:val="de-AT"/>
        </w:rPr>
        <w:t>Stadlhofer</w:t>
      </w:r>
      <w:proofErr w:type="spellEnd"/>
      <w:r w:rsidRPr="00011774">
        <w:rPr>
          <w:lang w:val="de-AT"/>
        </w:rPr>
        <w:t xml:space="preserve"> in seinem Vortrag. </w:t>
      </w:r>
      <w:r>
        <w:rPr>
          <w:lang w:val="de-AT"/>
        </w:rPr>
        <w:t>„</w:t>
      </w:r>
      <w:r w:rsidRPr="00011774">
        <w:rPr>
          <w:lang w:val="de-AT"/>
        </w:rPr>
        <w:t>Diese Vorgehensweise schafft ganz neue Möglichkeiten</w:t>
      </w:r>
      <w:r>
        <w:rPr>
          <w:lang w:val="de-AT"/>
        </w:rPr>
        <w:t>, daher führt an BIM in Zukunft kein Weg vorbei.“</w:t>
      </w:r>
    </w:p>
    <w:p w14:paraId="0F95BC6C" w14:textId="77777777" w:rsidR="008D4116" w:rsidRDefault="008D4116" w:rsidP="008D4116">
      <w:pPr>
        <w:spacing w:line="360" w:lineRule="auto"/>
        <w:rPr>
          <w:lang w:val="de-AT"/>
        </w:rPr>
      </w:pPr>
    </w:p>
    <w:p w14:paraId="7E6A32C1" w14:textId="77777777" w:rsidR="008D4116" w:rsidRPr="008C47DD" w:rsidRDefault="008D4116" w:rsidP="008D4116">
      <w:pPr>
        <w:spacing w:line="360" w:lineRule="auto"/>
        <w:rPr>
          <w:b/>
          <w:lang w:val="de-AT"/>
        </w:rPr>
      </w:pPr>
      <w:r w:rsidRPr="008C47DD">
        <w:rPr>
          <w:b/>
          <w:lang w:val="de-AT"/>
        </w:rPr>
        <w:t>Gebäude-Simulation</w:t>
      </w:r>
    </w:p>
    <w:p w14:paraId="4B2A06CE" w14:textId="3C53EDCD" w:rsidR="008D4116" w:rsidRDefault="008D4116" w:rsidP="008D4116">
      <w:pPr>
        <w:spacing w:line="360" w:lineRule="auto"/>
        <w:rPr>
          <w:lang w:val="de-AT"/>
        </w:rPr>
      </w:pPr>
      <w:r>
        <w:rPr>
          <w:lang w:val="de-AT"/>
        </w:rPr>
        <w:t>Auch in der Verwaltung von Bestandsimmobilien ergeben sich durch BIM ganz neue Möglichkeiten. Ist die Immobilie erst einmal im BIM</w:t>
      </w:r>
      <w:r w:rsidR="00D16D3D">
        <w:rPr>
          <w:lang w:val="de-AT"/>
        </w:rPr>
        <w:t>-</w:t>
      </w:r>
      <w:r>
        <w:rPr>
          <w:lang w:val="de-AT"/>
        </w:rPr>
        <w:t xml:space="preserve">Modell erfasst, steht eine Fülle an detaillierten Daten zur Verfügung, mit denen unterschiedliche Szenarien rund um das Gebäude simuliert werden können: Sei es zur Steigerung der Energieeffizienz, im Bereich der Statik bei Sanierungen und Erweiterungen oder auch im Bereich des Flächen-Managements. </w:t>
      </w:r>
    </w:p>
    <w:p w14:paraId="2653EDDF" w14:textId="77777777" w:rsidR="008D4116" w:rsidRDefault="008D4116" w:rsidP="008D4116">
      <w:pPr>
        <w:spacing w:line="360" w:lineRule="auto"/>
        <w:rPr>
          <w:lang w:val="de-AT"/>
        </w:rPr>
      </w:pPr>
    </w:p>
    <w:p w14:paraId="7CD9401A" w14:textId="4687DBBF" w:rsidR="008D4116" w:rsidRPr="0099530B" w:rsidRDefault="008D4116" w:rsidP="008D4116">
      <w:pPr>
        <w:spacing w:line="360" w:lineRule="auto"/>
        <w:rPr>
          <w:lang w:val="de-AT"/>
        </w:rPr>
      </w:pPr>
      <w:r>
        <w:rPr>
          <w:lang w:val="de-AT"/>
        </w:rPr>
        <w:t>„</w:t>
      </w:r>
      <w:r w:rsidRPr="0099530B">
        <w:rPr>
          <w:lang w:val="de-AT"/>
        </w:rPr>
        <w:t xml:space="preserve">Wir sehen </w:t>
      </w:r>
      <w:r>
        <w:rPr>
          <w:lang w:val="de-AT"/>
        </w:rPr>
        <w:t>hier</w:t>
      </w:r>
      <w:r w:rsidRPr="0099530B">
        <w:rPr>
          <w:lang w:val="de-AT"/>
        </w:rPr>
        <w:t xml:space="preserve"> große Chancen</w:t>
      </w:r>
      <w:r>
        <w:rPr>
          <w:lang w:val="de-AT"/>
        </w:rPr>
        <w:t xml:space="preserve">, </w:t>
      </w:r>
      <w:r w:rsidRPr="0099530B">
        <w:rPr>
          <w:lang w:val="de-AT"/>
        </w:rPr>
        <w:t xml:space="preserve">die Produktivität </w:t>
      </w:r>
      <w:r>
        <w:rPr>
          <w:lang w:val="de-AT"/>
        </w:rPr>
        <w:t>von Immobilien in jeder Phase ihres Lebenszyklus</w:t>
      </w:r>
      <w:r w:rsidR="00D16D3D">
        <w:rPr>
          <w:lang w:val="de-AT"/>
        </w:rPr>
        <w:t xml:space="preserve"> </w:t>
      </w:r>
      <w:r>
        <w:rPr>
          <w:lang w:val="de-AT"/>
        </w:rPr>
        <w:t xml:space="preserve">zu steigern“, erklärt Georg </w:t>
      </w:r>
      <w:proofErr w:type="spellStart"/>
      <w:r>
        <w:rPr>
          <w:lang w:val="de-AT"/>
        </w:rPr>
        <w:t>Stadlhofer</w:t>
      </w:r>
      <w:proofErr w:type="spellEnd"/>
      <w:r>
        <w:rPr>
          <w:lang w:val="de-AT"/>
        </w:rPr>
        <w:t>. „Hier gibt es ein enormes Potenzial</w:t>
      </w:r>
      <w:r w:rsidRPr="0099530B">
        <w:rPr>
          <w:lang w:val="de-AT"/>
        </w:rPr>
        <w:t xml:space="preserve">. Wir haben es uns zum Ziel gemacht, die Effizienz in der </w:t>
      </w:r>
      <w:r>
        <w:rPr>
          <w:lang w:val="de-AT"/>
        </w:rPr>
        <w:t>Immobilien-W</w:t>
      </w:r>
      <w:r w:rsidRPr="0099530B">
        <w:rPr>
          <w:lang w:val="de-AT"/>
        </w:rPr>
        <w:t>irtschaft</w:t>
      </w:r>
      <w:r w:rsidR="00D16D3D">
        <w:rPr>
          <w:lang w:val="de-AT"/>
        </w:rPr>
        <w:t>,</w:t>
      </w:r>
      <w:r w:rsidRPr="0099530B">
        <w:rPr>
          <w:lang w:val="de-AT"/>
        </w:rPr>
        <w:t xml:space="preserve"> </w:t>
      </w:r>
      <w:r>
        <w:rPr>
          <w:lang w:val="de-AT"/>
        </w:rPr>
        <w:t>unter anderem mit unseren BIM-Lösungen</w:t>
      </w:r>
      <w:r w:rsidR="00D16D3D">
        <w:rPr>
          <w:lang w:val="de-AT"/>
        </w:rPr>
        <w:t>,</w:t>
      </w:r>
      <w:r>
        <w:rPr>
          <w:lang w:val="de-AT"/>
        </w:rPr>
        <w:t xml:space="preserve"> zu erhöhen.“</w:t>
      </w:r>
      <w:r w:rsidRPr="0099530B">
        <w:rPr>
          <w:lang w:val="de-AT"/>
        </w:rPr>
        <w:t xml:space="preserve"> </w:t>
      </w:r>
    </w:p>
    <w:p w14:paraId="1F59D0FB" w14:textId="77777777" w:rsidR="0013162E" w:rsidRPr="008D4116" w:rsidRDefault="0013162E" w:rsidP="0013162E">
      <w:pPr>
        <w:spacing w:line="360" w:lineRule="auto"/>
        <w:rPr>
          <w:lang w:val="de-AT"/>
        </w:rPr>
      </w:pPr>
    </w:p>
    <w:p w14:paraId="30F277AA" w14:textId="30013A0D" w:rsidR="00930ACA" w:rsidRPr="00CF4F23" w:rsidRDefault="7A2B452F" w:rsidP="00AF6842">
      <w:pPr>
        <w:rPr>
          <w:sz w:val="18"/>
          <w:szCs w:val="18"/>
        </w:rPr>
      </w:pPr>
      <w:r w:rsidRPr="7A2B452F">
        <w:rPr>
          <w:rFonts w:cs="Arial"/>
        </w:rPr>
        <w:t>* * *</w:t>
      </w:r>
    </w:p>
    <w:p w14:paraId="4DEA66E6" w14:textId="1CB9F531" w:rsidR="0013162E" w:rsidRDefault="0013162E" w:rsidP="0013162E">
      <w:pPr>
        <w:pStyle w:val="Text"/>
        <w:spacing w:line="360" w:lineRule="auto"/>
        <w:ind w:right="-1"/>
        <w:rPr>
          <w:rFonts w:cs="Arial"/>
          <w:b/>
          <w:bCs/>
          <w:i/>
          <w:iCs/>
        </w:rPr>
      </w:pPr>
      <w:r w:rsidRPr="7A2B452F">
        <w:rPr>
          <w:rFonts w:cs="Arial"/>
          <w:b/>
          <w:bCs/>
          <w:i/>
          <w:iCs/>
        </w:rPr>
        <w:t>Drees &amp; Sommer: Innovativer Partner für Beraten, Planen, Bauen und Betreiben.</w:t>
      </w:r>
    </w:p>
    <w:p w14:paraId="7220CB6D" w14:textId="77777777" w:rsidR="0013162E" w:rsidRDefault="0013162E" w:rsidP="0013162E">
      <w:pPr>
        <w:spacing w:line="360" w:lineRule="auto"/>
      </w:pPr>
      <w:r w:rsidRPr="00E702A6">
        <w:t xml:space="preserve">Drees &amp; Sommer ist seit 1991 mit den Leistungen Projektmanagement, Projektsteuerung, Engineering, Real Estate Investment Consulting und Technical Due Diligence, Real Estate- &amp; Facility Management-Beratung am österreichischen Markt vertreten. </w:t>
      </w:r>
    </w:p>
    <w:p w14:paraId="347A71FA" w14:textId="6F2908A9" w:rsidR="0013162E" w:rsidRPr="00E702A6" w:rsidRDefault="0013162E" w:rsidP="0013162E">
      <w:pPr>
        <w:spacing w:line="360" w:lineRule="auto"/>
      </w:pPr>
      <w:r w:rsidRPr="00E702A6">
        <w:t>Seither hat Drees &amp; Sommer bereits über 500 österreichische Bau- und Immobilienprojekte erfolgreich begleitet. Darüber hinaus stellt Wien mit seiner strategisch günstigen Lage das Tor zum Osten Europas dar und koordiniert Projekte in Ungarn, Slowenien, der Slowakei, Tschechien, Kroatien und Rumänien.</w:t>
      </w:r>
    </w:p>
    <w:p w14:paraId="5873574A" w14:textId="77777777" w:rsidR="0013162E" w:rsidRPr="00E702A6" w:rsidRDefault="0013162E" w:rsidP="0013162E">
      <w:pPr>
        <w:spacing w:line="360" w:lineRule="auto"/>
      </w:pPr>
    </w:p>
    <w:p w14:paraId="5BE8990F" w14:textId="77777777" w:rsidR="0013162E" w:rsidRPr="00E702A6" w:rsidRDefault="0013162E" w:rsidP="0013162E">
      <w:pPr>
        <w:spacing w:line="360" w:lineRule="auto"/>
      </w:pPr>
      <w:r w:rsidRPr="00E702A6">
        <w:t xml:space="preserve">Starken Rückhalt bietet die Konzernmutter mit Sitz in Stuttgart: Drees &amp; Sommer SE begleitet private und öffentliche Bauherren sowie Investoren seit über 45 Jahren bei allen Fragen rund um Immobilien und Infrastruktur. Das partnergeführte Unternehmen ist mit rund 2.400 Mitarbeitern an insgesamt 43 Standorten weltweit vertreten. </w:t>
      </w:r>
    </w:p>
    <w:p w14:paraId="6B7A4A15" w14:textId="77777777" w:rsidR="008D4116" w:rsidRDefault="001151C8" w:rsidP="008D4116">
      <w:pPr>
        <w:spacing w:after="120" w:line="360" w:lineRule="auto"/>
        <w:rPr>
          <w:i/>
          <w:iCs/>
        </w:rPr>
      </w:pPr>
      <w:hyperlink r:id="rId8" w:history="1">
        <w:r w:rsidR="0013162E">
          <w:rPr>
            <w:rStyle w:val="Hyperlink"/>
          </w:rPr>
          <w:t>www.dreso.at</w:t>
        </w:r>
      </w:hyperlink>
      <w:r w:rsidR="0013162E">
        <w:rPr>
          <w:i/>
          <w:iCs/>
        </w:rPr>
        <w:t xml:space="preserve"> </w:t>
      </w:r>
    </w:p>
    <w:p w14:paraId="32883DAB" w14:textId="77777777" w:rsidR="008D4116" w:rsidRDefault="008D4116" w:rsidP="008D4116">
      <w:pPr>
        <w:spacing w:after="120" w:line="360" w:lineRule="auto"/>
        <w:rPr>
          <w:i/>
          <w:iCs/>
        </w:rPr>
      </w:pPr>
    </w:p>
    <w:p w14:paraId="0EE5A9B7" w14:textId="2FB29540" w:rsidR="009B1172" w:rsidRPr="000A78E9" w:rsidRDefault="0013162E" w:rsidP="008D4116">
      <w:pPr>
        <w:spacing w:after="120" w:line="360" w:lineRule="auto"/>
        <w:rPr>
          <w:rFonts w:cs="Arial"/>
          <w:b/>
          <w:bCs/>
          <w:i/>
          <w:iCs/>
        </w:rPr>
      </w:pPr>
      <w:r w:rsidRPr="00CF4F23">
        <w:rPr>
          <w:b/>
          <w:sz w:val="18"/>
          <w:szCs w:val="18"/>
        </w:rPr>
        <w:t>Kontakt Für Rückfragen:</w:t>
      </w:r>
      <w:r w:rsidR="008D4116">
        <w:rPr>
          <w:i/>
          <w:iCs/>
        </w:rPr>
        <w:t xml:space="preserve"> </w:t>
      </w:r>
      <w:r w:rsidRPr="00CF4F23">
        <w:rPr>
          <w:sz w:val="18"/>
          <w:szCs w:val="18"/>
        </w:rPr>
        <w:t xml:space="preserve">Patrick Bock, BRANDMEDIA, </w:t>
      </w:r>
      <w:hyperlink r:id="rId9" w:history="1">
        <w:r w:rsidRPr="00CF4F23">
          <w:rPr>
            <w:rStyle w:val="Hyperlink"/>
            <w:sz w:val="18"/>
            <w:szCs w:val="18"/>
          </w:rPr>
          <w:t>p.bock@brandmedia.cc</w:t>
        </w:r>
      </w:hyperlink>
      <w:r w:rsidRPr="00CF4F23">
        <w:rPr>
          <w:sz w:val="18"/>
          <w:szCs w:val="18"/>
        </w:rPr>
        <w:t>, +43 676 704 52 54</w:t>
      </w:r>
    </w:p>
    <w:sectPr w:rsidR="009B1172" w:rsidRPr="000A78E9" w:rsidSect="004E25A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FB46" w14:textId="77777777" w:rsidR="00342809" w:rsidRDefault="00342809">
      <w:r>
        <w:separator/>
      </w:r>
    </w:p>
  </w:endnote>
  <w:endnote w:type="continuationSeparator" w:id="0">
    <w:p w14:paraId="134D81AD" w14:textId="77777777" w:rsidR="00342809" w:rsidRDefault="0034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282C" w14:textId="77777777" w:rsidR="009425ED" w:rsidRDefault="009425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528A0EDC" w:rsidR="007E41E6" w:rsidRDefault="00AF6842"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9264" behindDoc="1" locked="0" layoutInCell="1" allowOverlap="1" wp14:anchorId="45867099" wp14:editId="4D83C0D8">
              <wp:simplePos x="0" y="0"/>
              <wp:positionH relativeFrom="margin">
                <wp:align>left</wp:align>
              </wp:positionH>
              <wp:positionV relativeFrom="paragraph">
                <wp:posOffset>-566420</wp:posOffset>
              </wp:positionV>
              <wp:extent cx="2541905" cy="7962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796290"/>
                      </a:xfrm>
                      <a:prstGeom prst="rect">
                        <a:avLst/>
                      </a:prstGeom>
                      <a:solidFill>
                        <a:srgbClr val="FFFFFF"/>
                      </a:solidFill>
                      <a:ln w="9525">
                        <a:noFill/>
                        <a:miter lim="800000"/>
                        <a:headEnd/>
                        <a:tailEnd/>
                      </a:ln>
                    </wps:spPr>
                    <wps:txbx>
                      <w:txbxContent>
                        <w:p w14:paraId="2F17CE12" w14:textId="77777777" w:rsidR="007E41E6" w:rsidRPr="003A5B4F" w:rsidRDefault="007E41E6" w:rsidP="000E4B01">
                          <w:pPr>
                            <w:rPr>
                              <w:b/>
                              <w:sz w:val="16"/>
                            </w:rPr>
                          </w:pPr>
                          <w:r w:rsidRPr="003A5B4F">
                            <w:rPr>
                              <w:b/>
                              <w:sz w:val="16"/>
                            </w:rPr>
                            <w:t xml:space="preserve">Nadja Lemke </w:t>
                          </w:r>
                        </w:p>
                        <w:p w14:paraId="3F494EF9" w14:textId="77777777" w:rsidR="007E41E6" w:rsidRPr="003A5B4F" w:rsidRDefault="007E41E6" w:rsidP="00435CB2">
                          <w:pPr>
                            <w:jc w:val="left"/>
                            <w:rPr>
                              <w:b/>
                              <w:sz w:val="16"/>
                            </w:rPr>
                          </w:pPr>
                          <w:r w:rsidRPr="003A5B4F">
                            <w:rPr>
                              <w:b/>
                              <w:sz w:val="16"/>
                            </w:rPr>
                            <w:t xml:space="preserve">Leiterin Presse und Internationale Kommunikation Telefon +49 711 1317-177 ▪ Mobil  +49 172 7699566 </w:t>
                          </w:r>
                        </w:p>
                        <w:p w14:paraId="7A677667" w14:textId="77777777" w:rsidR="007E41E6" w:rsidRPr="003A5B4F" w:rsidRDefault="007E41E6" w:rsidP="000E4B01">
                          <w:pPr>
                            <w:rPr>
                              <w:b/>
                              <w:sz w:val="16"/>
                            </w:rPr>
                          </w:pPr>
                          <w:r w:rsidRPr="003A5B4F">
                            <w:rPr>
                              <w:b/>
                              <w:sz w:val="16"/>
                            </w:rPr>
                            <w:t xml:space="preserve">nadja.lemke@dreso.com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67099" id="_x0000_t202" coordsize="21600,21600" o:spt="202" path="m,l,21600r21600,l21600,xe">
              <v:stroke joinstyle="miter"/>
              <v:path gradientshapeok="t" o:connecttype="rect"/>
            </v:shapetype>
            <v:shape id="Textfeld 2" o:spid="_x0000_s1026" type="#_x0000_t202" style="position:absolute;left:0;text-align:left;margin-left:0;margin-top:-44.6pt;width:200.15pt;height:62.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nTIwIAABkEAAAOAAAAZHJzL2Uyb0RvYy54bWysU11v2yAUfZ+0/4B4X/yhpGmsOFWXLtOk&#10;rpvU7gdgwDEacD0gsbtfvwtO06h7m+YHdK+5HM4997C+GY0mR+m8AlvTYpZTIi0Hoey+pj+edh+u&#10;KfGBWcE0WFnTZ+npzeb9u/XQV7KEDrSQjiCI9dXQ17QLoa+yzPNOGuZn0EuLmy04wwKmbp8JxwZE&#10;Nzor8/wqG8CJ3gGX3uPfu2mTbhJ+20oevrWtl4HomiK3kFaX1iau2WbNqr1jfaf4iQb7BxaGKYuX&#10;nqHuWGDk4NRfUEZxBx7aMONgMmhbxWXqAbsp8jfdPHasl6kXFMf3Z5n8/4PlD8fvjihR07JYUmKZ&#10;wSE9yTG0UgtSRn2G3ldY9thjYRg/wohzTr36/h74T08sbDtm9/LWORg6yQTyK+LJ7OLohOMjSDN8&#10;BYHXsEOABDS2zkTxUA6C6Din5/NskArh+LNczItVvqCE495ydVWu0vAyVr2c7p0PnyUYEoOaOpx9&#10;QmfHex8iG1a9lMTLPGgldkrrlLh9s9WOHBn6ZJe+1MCbMm3JUNPVolwkZAvxfLKQUQF9rJWp6XUe&#10;v8lZUY1PVqSSwJSeYmSi7UmeqMikTRibEQujZg2IZxTKweRXfF8YdOB+UzKgV2vqfx2Yk5ToLxbF&#10;jsZOwXyxLDFxKVkV8zkmzeUOsxxhahoomcJtSI8hamDhFgfSqqTVK4sTT/RfkvD0VqLBL/NU9fqi&#10;N38AAAD//wMAUEsDBBQABgAIAAAAIQBKUYIM3QAAAAcBAAAPAAAAZHJzL2Rvd25yZXYueG1sTI/B&#10;TsMwEETvSPyDtUjcWpu0akvIpqqQkLggRIC7Gy9xSLwOsdumfD3mBMfRjGbeFNvJ9eJIY2g9I9zM&#10;FQji2puWG4S314fZBkSImo3uPRPCmQJsy8uLQufGn/iFjlVsRCrhkGsEG+OQSxlqS06HuR+Ik/fh&#10;R6djkmMjzahPqdz1MlNqJZ1uOS1YPdC9pbqrDg6h/VTfT4/Py86qjtbaf1Xv690Z8fpq2t2BiDTF&#10;vzD84id0KBPT3h/YBNEjpCMRYba5zUAke6nUAsQeYbHKQJaF/M9f/gAAAP//AwBQSwECLQAUAAYA&#10;CAAAACEAtoM4kv4AAADhAQAAEwAAAAAAAAAAAAAAAAAAAAAAW0NvbnRlbnRfVHlwZXNdLnhtbFBL&#10;AQItABQABgAIAAAAIQA4/SH/1gAAAJQBAAALAAAAAAAAAAAAAAAAAC8BAABfcmVscy8ucmVsc1BL&#10;AQItABQABgAIAAAAIQD1shnTIwIAABkEAAAOAAAAAAAAAAAAAAAAAC4CAABkcnMvZTJvRG9jLnht&#10;bFBLAQItABQABgAIAAAAIQBKUYIM3QAAAAcBAAAPAAAAAAAAAAAAAAAAAH0EAABkcnMvZG93bnJl&#10;di54bWxQSwUGAAAAAAQABADzAAAAhwUAAAAA&#10;" stroked="f">
              <v:textbox inset="0">
                <w:txbxContent>
                  <w:p w14:paraId="2F17CE12" w14:textId="77777777" w:rsidR="007E41E6" w:rsidRPr="003A5B4F" w:rsidRDefault="007E41E6" w:rsidP="000E4B01">
                    <w:pPr>
                      <w:rPr>
                        <w:b/>
                        <w:sz w:val="16"/>
                      </w:rPr>
                    </w:pPr>
                    <w:r w:rsidRPr="003A5B4F">
                      <w:rPr>
                        <w:b/>
                        <w:sz w:val="16"/>
                      </w:rPr>
                      <w:t xml:space="preserve">Nadja Lemke </w:t>
                    </w:r>
                  </w:p>
                  <w:p w14:paraId="3F494EF9" w14:textId="77777777" w:rsidR="007E41E6" w:rsidRPr="003A5B4F" w:rsidRDefault="007E41E6" w:rsidP="00435CB2">
                    <w:pPr>
                      <w:jc w:val="left"/>
                      <w:rPr>
                        <w:b/>
                        <w:sz w:val="16"/>
                      </w:rPr>
                    </w:pPr>
                    <w:r w:rsidRPr="003A5B4F">
                      <w:rPr>
                        <w:b/>
                        <w:sz w:val="16"/>
                      </w:rPr>
                      <w:t xml:space="preserve">Leiterin Presse und Internationale Kommunikation Telefon +49 711 1317-177 ▪ Mobil  +49 172 7699566 </w:t>
                    </w:r>
                  </w:p>
                  <w:p w14:paraId="7A677667" w14:textId="77777777" w:rsidR="007E41E6" w:rsidRPr="003A5B4F" w:rsidRDefault="007E41E6" w:rsidP="000E4B01">
                    <w:pPr>
                      <w:rPr>
                        <w:b/>
                        <w:sz w:val="16"/>
                      </w:rPr>
                    </w:pPr>
                    <w:r w:rsidRPr="003A5B4F">
                      <w:rPr>
                        <w:b/>
                        <w:sz w:val="16"/>
                      </w:rPr>
                      <w:t xml:space="preserve">nadja.lemke@dreso.com </w:t>
                    </w:r>
                  </w:p>
                </w:txbxContent>
              </v:textbox>
              <w10:wrap type="square" anchorx="margin"/>
            </v:shape>
          </w:pict>
        </mc:Fallback>
      </mc:AlternateContent>
    </w:r>
    <w:r>
      <w:rPr>
        <w:rFonts w:ascii="Arial" w:hAnsi="Arial" w:cs="Arial"/>
        <w:b/>
        <w:noProof/>
        <w:sz w:val="20"/>
        <w:lang w:val="de-AT" w:eastAsia="de-AT"/>
      </w:rPr>
      <mc:AlternateContent>
        <mc:Choice Requires="wps">
          <w:drawing>
            <wp:anchor distT="45720" distB="45720" distL="114300" distR="114300" simplePos="0" relativeHeight="251661312" behindDoc="1" locked="0" layoutInCell="1" allowOverlap="1" wp14:anchorId="519A7F70" wp14:editId="72E051A8">
              <wp:simplePos x="0" y="0"/>
              <wp:positionH relativeFrom="margin">
                <wp:posOffset>3034030</wp:posOffset>
              </wp:positionH>
              <wp:positionV relativeFrom="paragraph">
                <wp:posOffset>-587375</wp:posOffset>
              </wp:positionV>
              <wp:extent cx="2500630" cy="782320"/>
              <wp:effectExtent l="0" t="0" r="0"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3335CB21" w14:textId="77777777" w:rsidR="007E41E6" w:rsidRPr="003A5B4F" w:rsidRDefault="007E41E6" w:rsidP="000E4B01">
                          <w:pPr>
                            <w:jc w:val="left"/>
                            <w:rPr>
                              <w:b/>
                              <w:sz w:val="16"/>
                            </w:rPr>
                          </w:pPr>
                          <w:r w:rsidRPr="003A5B4F">
                            <w:rPr>
                              <w:b/>
                              <w:sz w:val="16"/>
                            </w:rPr>
                            <w:t xml:space="preserve">Barbara </w:t>
                          </w:r>
                          <w:proofErr w:type="spellStart"/>
                          <w:r w:rsidRPr="003A5B4F">
                            <w:rPr>
                              <w:b/>
                              <w:sz w:val="16"/>
                            </w:rPr>
                            <w:t>Wiesneth</w:t>
                          </w:r>
                          <w:proofErr w:type="spellEnd"/>
                        </w:p>
                        <w:p w14:paraId="31BE8223" w14:textId="77777777" w:rsidR="007E41E6" w:rsidRPr="003A5B4F" w:rsidRDefault="007E41E6"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14:paraId="749347B0" w14:textId="77777777" w:rsidR="007E41E6" w:rsidRPr="003A5B4F" w:rsidRDefault="007E41E6" w:rsidP="000E4B01">
                          <w:pPr>
                            <w:jc w:val="left"/>
                            <w:rPr>
                              <w:b/>
                              <w:sz w:val="16"/>
                            </w:rPr>
                          </w:pPr>
                          <w:r w:rsidRPr="003A5B4F">
                            <w:rPr>
                              <w:b/>
                              <w:sz w:val="16"/>
                            </w:rPr>
                            <w:t xml:space="preserve">Telefon +49 711 1317-2411 ▪ </w:t>
                          </w:r>
                          <w:r>
                            <w:rPr>
                              <w:b/>
                              <w:sz w:val="16"/>
                            </w:rPr>
                            <w:t>Mobil  +49 172 7</w:t>
                          </w:r>
                          <w:r w:rsidRPr="003A5B4F">
                            <w:rPr>
                              <w:b/>
                              <w:sz w:val="16"/>
                            </w:rPr>
                            <w:t>995</w:t>
                          </w:r>
                          <w:r>
                            <w:rPr>
                              <w:b/>
                              <w:sz w:val="16"/>
                            </w:rPr>
                            <w:t>752</w:t>
                          </w:r>
                        </w:p>
                        <w:p w14:paraId="51321602" w14:textId="77777777" w:rsidR="007E41E6" w:rsidRPr="003A5B4F" w:rsidRDefault="007E41E6" w:rsidP="000E4B01">
                          <w:pPr>
                            <w:jc w:val="left"/>
                            <w:rPr>
                              <w:b/>
                              <w:sz w:val="16"/>
                            </w:rPr>
                          </w:pPr>
                          <w:r>
                            <w:rPr>
                              <w:b/>
                              <w:sz w:val="16"/>
                            </w:rPr>
                            <w:t>barbara</w:t>
                          </w:r>
                          <w:r w:rsidRPr="003A5B4F">
                            <w:rPr>
                              <w:b/>
                              <w:sz w:val="16"/>
                            </w:rPr>
                            <w:t xml:space="preserve">.wiesneth@dreso.com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A7F70" id="_x0000_s1027" type="#_x0000_t202" style="position:absolute;left:0;text-align:left;margin-left:238.9pt;margin-top:-46.25pt;width:196.9pt;height:6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dQIwIAAB4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eQ6Zu0RdA+IJ+fIwihY/GRod+N+U9CjYmoZfB+YlJfqzRc6T&#10;urOxWF4hO8Rn53q2WKDTXEaY5QhT00jJaG5j/hGJCgu3OJdWZcpeqjiViyLMTJ4+TFL5pZ+zXr71&#10;5g8AAAD//wMAUEsDBBQABgAIAAAAIQA9nvWx4AAAAAoBAAAPAAAAZHJzL2Rvd25yZXYueG1sTI/B&#10;TsMwEETvSPyDtUjcWrul1G3IpqqQkLgg1EDvbrzEIbEdYrdN+XrMCY6jGc28yTej7diJhtB4hzCb&#10;CmDkKq8bVyO8vz1NVsBCVE6rzjtCuFCATXF9latM+7Pb0amMNUslLmQKwcTYZ5yHypBVYep7csn7&#10;8INVMcmh5npQ51RuOz4XYsmtalxaMKqnR0NVWx4tQvMpvl+eXxetES1J5b/KvdxeEG9vxu0DsEhj&#10;/AvDL35ChyIxHfzR6cA6hIWUCT0iTNbze2ApsZKzJbADwp2QwIuc/79Q/AAAAP//AwBQSwECLQAU&#10;AAYACAAAACEAtoM4kv4AAADhAQAAEwAAAAAAAAAAAAAAAAAAAAAAW0NvbnRlbnRfVHlwZXNdLnht&#10;bFBLAQItABQABgAIAAAAIQA4/SH/1gAAAJQBAAALAAAAAAAAAAAAAAAAAC8BAABfcmVscy8ucmVs&#10;c1BLAQItABQABgAIAAAAIQARt8dQIwIAAB4EAAAOAAAAAAAAAAAAAAAAAC4CAABkcnMvZTJvRG9j&#10;LnhtbFBLAQItABQABgAIAAAAIQA9nvWx4AAAAAoBAAAPAAAAAAAAAAAAAAAAAH0EAABkcnMvZG93&#10;bnJldi54bWxQSwUGAAAAAAQABADzAAAAigUAAAAA&#10;" stroked="f">
              <v:textbox inset="0">
                <w:txbxContent>
                  <w:p w14:paraId="3335CB21" w14:textId="77777777" w:rsidR="007E41E6" w:rsidRPr="003A5B4F" w:rsidRDefault="007E41E6" w:rsidP="000E4B01">
                    <w:pPr>
                      <w:jc w:val="left"/>
                      <w:rPr>
                        <w:b/>
                        <w:sz w:val="16"/>
                      </w:rPr>
                    </w:pPr>
                    <w:r w:rsidRPr="003A5B4F">
                      <w:rPr>
                        <w:b/>
                        <w:sz w:val="16"/>
                      </w:rPr>
                      <w:t xml:space="preserve">Barbara </w:t>
                    </w:r>
                    <w:proofErr w:type="spellStart"/>
                    <w:r w:rsidRPr="003A5B4F">
                      <w:rPr>
                        <w:b/>
                        <w:sz w:val="16"/>
                      </w:rPr>
                      <w:t>Wiesneth</w:t>
                    </w:r>
                    <w:proofErr w:type="spellEnd"/>
                  </w:p>
                  <w:p w14:paraId="31BE8223" w14:textId="77777777" w:rsidR="007E41E6" w:rsidRPr="003A5B4F" w:rsidRDefault="007E41E6"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14:paraId="749347B0" w14:textId="77777777" w:rsidR="007E41E6" w:rsidRPr="003A5B4F" w:rsidRDefault="007E41E6" w:rsidP="000E4B01">
                    <w:pPr>
                      <w:jc w:val="left"/>
                      <w:rPr>
                        <w:b/>
                        <w:sz w:val="16"/>
                      </w:rPr>
                    </w:pPr>
                    <w:r w:rsidRPr="003A5B4F">
                      <w:rPr>
                        <w:b/>
                        <w:sz w:val="16"/>
                      </w:rPr>
                      <w:t xml:space="preserve">Telefon +49 711 1317-2411 ▪ </w:t>
                    </w:r>
                    <w:r>
                      <w:rPr>
                        <w:b/>
                        <w:sz w:val="16"/>
                      </w:rPr>
                      <w:t>Mobil  +49 172 7</w:t>
                    </w:r>
                    <w:r w:rsidRPr="003A5B4F">
                      <w:rPr>
                        <w:b/>
                        <w:sz w:val="16"/>
                      </w:rPr>
                      <w:t>995</w:t>
                    </w:r>
                    <w:r>
                      <w:rPr>
                        <w:b/>
                        <w:sz w:val="16"/>
                      </w:rPr>
                      <w:t>752</w:t>
                    </w:r>
                  </w:p>
                  <w:p w14:paraId="51321602" w14:textId="77777777" w:rsidR="007E41E6" w:rsidRPr="003A5B4F" w:rsidRDefault="007E41E6" w:rsidP="000E4B01">
                    <w:pPr>
                      <w:jc w:val="left"/>
                      <w:rPr>
                        <w:b/>
                        <w:sz w:val="16"/>
                      </w:rPr>
                    </w:pPr>
                    <w:r>
                      <w:rPr>
                        <w:b/>
                        <w:sz w:val="16"/>
                      </w:rPr>
                      <w:t>barbara</w:t>
                    </w:r>
                    <w:r w:rsidRPr="003A5B4F">
                      <w:rPr>
                        <w:b/>
                        <w:sz w:val="16"/>
                      </w:rPr>
                      <w:t xml:space="preserve">.wiesneth@dreso.com </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256C" w14:textId="77777777" w:rsidR="00342809" w:rsidRDefault="00342809">
      <w:r>
        <w:separator/>
      </w:r>
    </w:p>
  </w:footnote>
  <w:footnote w:type="continuationSeparator" w:id="0">
    <w:p w14:paraId="347E4C8A" w14:textId="77777777" w:rsidR="00342809" w:rsidRDefault="0034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B1D1" w14:textId="77777777" w:rsidR="009425ED" w:rsidRDefault="009425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41A29E93" w:rsidR="007E41E6" w:rsidRPr="000A78E9" w:rsidRDefault="007E41E6">
    <w:pPr>
      <w:pStyle w:val="Berichtsart"/>
      <w:rPr>
        <w:noProof/>
      </w:rPr>
    </w:pPr>
    <w:r w:rsidRPr="000A78E9">
      <w:rPr>
        <w:noProof/>
        <w:lang w:val="de-AT" w:eastAsia="de-AT"/>
      </w:rPr>
      <w:drawing>
        <wp:anchor distT="0" distB="0" distL="114300" distR="114300" simplePos="0" relativeHeight="251656704" behindDoc="0" locked="0" layoutInCell="1" allowOverlap="1" wp14:anchorId="2EAFF573" wp14:editId="2F680B4E">
          <wp:simplePos x="0" y="0"/>
          <wp:positionH relativeFrom="page">
            <wp:posOffset>6061710</wp:posOffset>
          </wp:positionH>
          <wp:positionV relativeFrom="page">
            <wp:posOffset>383540</wp:posOffset>
          </wp:positionV>
          <wp:extent cx="1186815" cy="359410"/>
          <wp:effectExtent l="0" t="0" r="0" b="2540"/>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359410"/>
                  </a:xfrm>
                  <a:prstGeom prst="rect">
                    <a:avLst/>
                  </a:prstGeom>
                  <a:noFill/>
                  <a:ln>
                    <a:noFill/>
                  </a:ln>
                </pic:spPr>
              </pic:pic>
            </a:graphicData>
          </a:graphic>
        </wp:anchor>
      </w:drawing>
    </w:r>
    <w:r w:rsidR="0013162E">
      <w:rPr>
        <w:noProof/>
      </w:rPr>
      <w:t>Medien</w:t>
    </w:r>
    <w:r w:rsidRPr="000A78E9">
      <w:rPr>
        <w:noProof/>
      </w:rPr>
      <w:t>information</w:t>
    </w:r>
  </w:p>
  <w:p w14:paraId="089C6187" w14:textId="565532D7" w:rsidR="007E41E6" w:rsidRDefault="008D4116">
    <w:pPr>
      <w:pStyle w:val="Kopfzeile"/>
    </w:pPr>
    <w:r>
      <w:t>1</w:t>
    </w:r>
    <w:r w:rsidR="009425ED">
      <w:t>5</w:t>
    </w:r>
    <w:r w:rsidR="00AF6842">
      <w:t>.0</w:t>
    </w:r>
    <w:r>
      <w:t>6</w:t>
    </w:r>
    <w:r w:rsidR="007E41E6">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AD0"/>
    <w:rsid w:val="00007F8C"/>
    <w:rsid w:val="000106AE"/>
    <w:rsid w:val="0001071C"/>
    <w:rsid w:val="00016C86"/>
    <w:rsid w:val="00017C3A"/>
    <w:rsid w:val="00021218"/>
    <w:rsid w:val="00021CBE"/>
    <w:rsid w:val="0002430B"/>
    <w:rsid w:val="000250BC"/>
    <w:rsid w:val="0003023B"/>
    <w:rsid w:val="00030241"/>
    <w:rsid w:val="00031718"/>
    <w:rsid w:val="00034AD3"/>
    <w:rsid w:val="00035237"/>
    <w:rsid w:val="000360C2"/>
    <w:rsid w:val="00037AE4"/>
    <w:rsid w:val="00041A67"/>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5532"/>
    <w:rsid w:val="000811DF"/>
    <w:rsid w:val="00084BC2"/>
    <w:rsid w:val="00084FE6"/>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7E8E"/>
    <w:rsid w:val="000D2918"/>
    <w:rsid w:val="000D3608"/>
    <w:rsid w:val="000D47DA"/>
    <w:rsid w:val="000E1A5A"/>
    <w:rsid w:val="000E26DB"/>
    <w:rsid w:val="000E4B01"/>
    <w:rsid w:val="000F3B09"/>
    <w:rsid w:val="000F4A45"/>
    <w:rsid w:val="000F569F"/>
    <w:rsid w:val="000F63B6"/>
    <w:rsid w:val="00100F54"/>
    <w:rsid w:val="001021F6"/>
    <w:rsid w:val="00103AA7"/>
    <w:rsid w:val="001052CF"/>
    <w:rsid w:val="001071A9"/>
    <w:rsid w:val="0011722C"/>
    <w:rsid w:val="00123026"/>
    <w:rsid w:val="0012422D"/>
    <w:rsid w:val="001259F9"/>
    <w:rsid w:val="00126845"/>
    <w:rsid w:val="0012708F"/>
    <w:rsid w:val="0013162E"/>
    <w:rsid w:val="00134FBF"/>
    <w:rsid w:val="00135A86"/>
    <w:rsid w:val="00140F09"/>
    <w:rsid w:val="00146670"/>
    <w:rsid w:val="00146C27"/>
    <w:rsid w:val="001501F7"/>
    <w:rsid w:val="001576B2"/>
    <w:rsid w:val="00162639"/>
    <w:rsid w:val="001651C4"/>
    <w:rsid w:val="00165C08"/>
    <w:rsid w:val="0016644E"/>
    <w:rsid w:val="00172D1B"/>
    <w:rsid w:val="00174B42"/>
    <w:rsid w:val="001768D3"/>
    <w:rsid w:val="001805A3"/>
    <w:rsid w:val="00180693"/>
    <w:rsid w:val="00180A52"/>
    <w:rsid w:val="00182D6B"/>
    <w:rsid w:val="00191937"/>
    <w:rsid w:val="0019337C"/>
    <w:rsid w:val="001944DB"/>
    <w:rsid w:val="00195710"/>
    <w:rsid w:val="001976D3"/>
    <w:rsid w:val="00197E36"/>
    <w:rsid w:val="001A27DF"/>
    <w:rsid w:val="001A2E4E"/>
    <w:rsid w:val="001A2F72"/>
    <w:rsid w:val="001B1367"/>
    <w:rsid w:val="001B2438"/>
    <w:rsid w:val="001B5B30"/>
    <w:rsid w:val="001B60F4"/>
    <w:rsid w:val="001C14D6"/>
    <w:rsid w:val="001C2E96"/>
    <w:rsid w:val="001C3812"/>
    <w:rsid w:val="001C5C4F"/>
    <w:rsid w:val="001C5CE9"/>
    <w:rsid w:val="001C7823"/>
    <w:rsid w:val="001D2916"/>
    <w:rsid w:val="001D56D9"/>
    <w:rsid w:val="001D6D8E"/>
    <w:rsid w:val="001D6F4C"/>
    <w:rsid w:val="001E41D9"/>
    <w:rsid w:val="001E5387"/>
    <w:rsid w:val="001F2099"/>
    <w:rsid w:val="001F388E"/>
    <w:rsid w:val="001F4B75"/>
    <w:rsid w:val="001F5AA2"/>
    <w:rsid w:val="001F5D4F"/>
    <w:rsid w:val="00215D4D"/>
    <w:rsid w:val="00224377"/>
    <w:rsid w:val="00225811"/>
    <w:rsid w:val="00230135"/>
    <w:rsid w:val="00230E4E"/>
    <w:rsid w:val="00232BD5"/>
    <w:rsid w:val="00234738"/>
    <w:rsid w:val="002366DC"/>
    <w:rsid w:val="002374AA"/>
    <w:rsid w:val="00241FF5"/>
    <w:rsid w:val="0024306E"/>
    <w:rsid w:val="002433C8"/>
    <w:rsid w:val="00245CE5"/>
    <w:rsid w:val="00251112"/>
    <w:rsid w:val="0025363D"/>
    <w:rsid w:val="002541CC"/>
    <w:rsid w:val="0026579E"/>
    <w:rsid w:val="0026735A"/>
    <w:rsid w:val="00275451"/>
    <w:rsid w:val="00277565"/>
    <w:rsid w:val="002805CF"/>
    <w:rsid w:val="00280839"/>
    <w:rsid w:val="002828C2"/>
    <w:rsid w:val="00283828"/>
    <w:rsid w:val="00283FBA"/>
    <w:rsid w:val="0028621C"/>
    <w:rsid w:val="00286FFD"/>
    <w:rsid w:val="00290B60"/>
    <w:rsid w:val="002A1B60"/>
    <w:rsid w:val="002A4868"/>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233C"/>
    <w:rsid w:val="002E1820"/>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E5D"/>
    <w:rsid w:val="00325C7F"/>
    <w:rsid w:val="00327863"/>
    <w:rsid w:val="00327E63"/>
    <w:rsid w:val="00327F97"/>
    <w:rsid w:val="00330425"/>
    <w:rsid w:val="003360BF"/>
    <w:rsid w:val="003375BE"/>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5EB9"/>
    <w:rsid w:val="00394003"/>
    <w:rsid w:val="00394E29"/>
    <w:rsid w:val="00396F98"/>
    <w:rsid w:val="003A2161"/>
    <w:rsid w:val="003A4024"/>
    <w:rsid w:val="003A501D"/>
    <w:rsid w:val="003B0B04"/>
    <w:rsid w:val="003B203B"/>
    <w:rsid w:val="003B25AE"/>
    <w:rsid w:val="003B4DB3"/>
    <w:rsid w:val="003C0C00"/>
    <w:rsid w:val="003C21B8"/>
    <w:rsid w:val="003C238A"/>
    <w:rsid w:val="003C2A39"/>
    <w:rsid w:val="003C6D9B"/>
    <w:rsid w:val="003C74C7"/>
    <w:rsid w:val="003D1BCC"/>
    <w:rsid w:val="003F32B9"/>
    <w:rsid w:val="003F3E1A"/>
    <w:rsid w:val="00401B7F"/>
    <w:rsid w:val="004024C5"/>
    <w:rsid w:val="004032AB"/>
    <w:rsid w:val="004042C5"/>
    <w:rsid w:val="00410484"/>
    <w:rsid w:val="0041119F"/>
    <w:rsid w:val="00414CB4"/>
    <w:rsid w:val="00421605"/>
    <w:rsid w:val="00425EE9"/>
    <w:rsid w:val="00430E1F"/>
    <w:rsid w:val="00435CB2"/>
    <w:rsid w:val="004412BE"/>
    <w:rsid w:val="004433DE"/>
    <w:rsid w:val="00444AD0"/>
    <w:rsid w:val="00445457"/>
    <w:rsid w:val="00447CCF"/>
    <w:rsid w:val="004508C3"/>
    <w:rsid w:val="00451F08"/>
    <w:rsid w:val="004551A7"/>
    <w:rsid w:val="00457F44"/>
    <w:rsid w:val="004601A0"/>
    <w:rsid w:val="0046550C"/>
    <w:rsid w:val="00466060"/>
    <w:rsid w:val="0046657E"/>
    <w:rsid w:val="00475910"/>
    <w:rsid w:val="00475969"/>
    <w:rsid w:val="00480C67"/>
    <w:rsid w:val="00495C4A"/>
    <w:rsid w:val="004A0E98"/>
    <w:rsid w:val="004A172C"/>
    <w:rsid w:val="004A7ACF"/>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7713"/>
    <w:rsid w:val="00517A63"/>
    <w:rsid w:val="0052389A"/>
    <w:rsid w:val="00526093"/>
    <w:rsid w:val="00534663"/>
    <w:rsid w:val="00537F47"/>
    <w:rsid w:val="00541778"/>
    <w:rsid w:val="005421C0"/>
    <w:rsid w:val="005432C0"/>
    <w:rsid w:val="00554E31"/>
    <w:rsid w:val="0056280C"/>
    <w:rsid w:val="00562F66"/>
    <w:rsid w:val="005724AF"/>
    <w:rsid w:val="00575E2D"/>
    <w:rsid w:val="0057717E"/>
    <w:rsid w:val="00582658"/>
    <w:rsid w:val="00584779"/>
    <w:rsid w:val="00586A5F"/>
    <w:rsid w:val="00586EF3"/>
    <w:rsid w:val="005942B5"/>
    <w:rsid w:val="005952B2"/>
    <w:rsid w:val="005963CB"/>
    <w:rsid w:val="005B18B3"/>
    <w:rsid w:val="005B52FA"/>
    <w:rsid w:val="005B7E68"/>
    <w:rsid w:val="005C48D9"/>
    <w:rsid w:val="005C55D6"/>
    <w:rsid w:val="005C5C6A"/>
    <w:rsid w:val="005C5EC6"/>
    <w:rsid w:val="005D447A"/>
    <w:rsid w:val="005D4EBD"/>
    <w:rsid w:val="005D57A1"/>
    <w:rsid w:val="005D5D45"/>
    <w:rsid w:val="005E21F2"/>
    <w:rsid w:val="005E3285"/>
    <w:rsid w:val="005E5851"/>
    <w:rsid w:val="005E5E74"/>
    <w:rsid w:val="005E7A1D"/>
    <w:rsid w:val="005E7FC1"/>
    <w:rsid w:val="005F0A9D"/>
    <w:rsid w:val="005F0DEC"/>
    <w:rsid w:val="005F12BF"/>
    <w:rsid w:val="005F6870"/>
    <w:rsid w:val="005F6E51"/>
    <w:rsid w:val="005F7DAC"/>
    <w:rsid w:val="0060295F"/>
    <w:rsid w:val="00603E43"/>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4765"/>
    <w:rsid w:val="006554E1"/>
    <w:rsid w:val="00661371"/>
    <w:rsid w:val="00665581"/>
    <w:rsid w:val="00667610"/>
    <w:rsid w:val="00671AC7"/>
    <w:rsid w:val="00673701"/>
    <w:rsid w:val="006749D2"/>
    <w:rsid w:val="006876C4"/>
    <w:rsid w:val="00695767"/>
    <w:rsid w:val="006A34DD"/>
    <w:rsid w:val="006A39EE"/>
    <w:rsid w:val="006A55D6"/>
    <w:rsid w:val="006A6242"/>
    <w:rsid w:val="006A71B8"/>
    <w:rsid w:val="006A7A5A"/>
    <w:rsid w:val="006B0914"/>
    <w:rsid w:val="006B2B91"/>
    <w:rsid w:val="006B4EFA"/>
    <w:rsid w:val="006C7CFB"/>
    <w:rsid w:val="006D1E9D"/>
    <w:rsid w:val="006D2E7D"/>
    <w:rsid w:val="006E1C57"/>
    <w:rsid w:val="006E30A2"/>
    <w:rsid w:val="006E4132"/>
    <w:rsid w:val="006E4E04"/>
    <w:rsid w:val="006F491C"/>
    <w:rsid w:val="006F51C1"/>
    <w:rsid w:val="006F7D57"/>
    <w:rsid w:val="0070508F"/>
    <w:rsid w:val="007107BD"/>
    <w:rsid w:val="0071674A"/>
    <w:rsid w:val="00720036"/>
    <w:rsid w:val="007248F3"/>
    <w:rsid w:val="00727FFC"/>
    <w:rsid w:val="007308E9"/>
    <w:rsid w:val="007340AC"/>
    <w:rsid w:val="0073568B"/>
    <w:rsid w:val="00736510"/>
    <w:rsid w:val="0074312F"/>
    <w:rsid w:val="00747542"/>
    <w:rsid w:val="00747B61"/>
    <w:rsid w:val="007513E4"/>
    <w:rsid w:val="0075448C"/>
    <w:rsid w:val="00760F45"/>
    <w:rsid w:val="007637DE"/>
    <w:rsid w:val="00767F20"/>
    <w:rsid w:val="007708F0"/>
    <w:rsid w:val="007717B1"/>
    <w:rsid w:val="007739C6"/>
    <w:rsid w:val="0077466E"/>
    <w:rsid w:val="00776953"/>
    <w:rsid w:val="00782433"/>
    <w:rsid w:val="00792659"/>
    <w:rsid w:val="00793792"/>
    <w:rsid w:val="00795377"/>
    <w:rsid w:val="007A038F"/>
    <w:rsid w:val="007A5CB8"/>
    <w:rsid w:val="007A6FC9"/>
    <w:rsid w:val="007B072F"/>
    <w:rsid w:val="007B3500"/>
    <w:rsid w:val="007B47E7"/>
    <w:rsid w:val="007B6B37"/>
    <w:rsid w:val="007B7E73"/>
    <w:rsid w:val="007C4AA5"/>
    <w:rsid w:val="007C5380"/>
    <w:rsid w:val="007C7097"/>
    <w:rsid w:val="007C730A"/>
    <w:rsid w:val="007C7768"/>
    <w:rsid w:val="007D0CCD"/>
    <w:rsid w:val="007E41E6"/>
    <w:rsid w:val="007E77C5"/>
    <w:rsid w:val="007F7077"/>
    <w:rsid w:val="00804D4C"/>
    <w:rsid w:val="00812CD2"/>
    <w:rsid w:val="00813973"/>
    <w:rsid w:val="008158A7"/>
    <w:rsid w:val="00821F63"/>
    <w:rsid w:val="0082690F"/>
    <w:rsid w:val="00830C88"/>
    <w:rsid w:val="00831122"/>
    <w:rsid w:val="00832D45"/>
    <w:rsid w:val="00833D6B"/>
    <w:rsid w:val="00840978"/>
    <w:rsid w:val="00840BF9"/>
    <w:rsid w:val="00843E75"/>
    <w:rsid w:val="00844B0E"/>
    <w:rsid w:val="008513BF"/>
    <w:rsid w:val="0085168A"/>
    <w:rsid w:val="00854AC7"/>
    <w:rsid w:val="00855458"/>
    <w:rsid w:val="008565F3"/>
    <w:rsid w:val="0086034D"/>
    <w:rsid w:val="00867CFE"/>
    <w:rsid w:val="00872C75"/>
    <w:rsid w:val="00875558"/>
    <w:rsid w:val="00876A4A"/>
    <w:rsid w:val="00877534"/>
    <w:rsid w:val="00880921"/>
    <w:rsid w:val="00880EFB"/>
    <w:rsid w:val="0088190F"/>
    <w:rsid w:val="00881BFB"/>
    <w:rsid w:val="00884C77"/>
    <w:rsid w:val="00886D39"/>
    <w:rsid w:val="008902E3"/>
    <w:rsid w:val="008961C4"/>
    <w:rsid w:val="00896D8F"/>
    <w:rsid w:val="008B0E79"/>
    <w:rsid w:val="008B1714"/>
    <w:rsid w:val="008C0EA5"/>
    <w:rsid w:val="008C10A3"/>
    <w:rsid w:val="008C1689"/>
    <w:rsid w:val="008C1BF0"/>
    <w:rsid w:val="008C2452"/>
    <w:rsid w:val="008C313E"/>
    <w:rsid w:val="008C6862"/>
    <w:rsid w:val="008C771D"/>
    <w:rsid w:val="008D0867"/>
    <w:rsid w:val="008D10C9"/>
    <w:rsid w:val="008D1562"/>
    <w:rsid w:val="008D25D1"/>
    <w:rsid w:val="008D344E"/>
    <w:rsid w:val="008D4116"/>
    <w:rsid w:val="008D5AE0"/>
    <w:rsid w:val="008D7519"/>
    <w:rsid w:val="008E38E3"/>
    <w:rsid w:val="008E72A1"/>
    <w:rsid w:val="008E747B"/>
    <w:rsid w:val="008F1863"/>
    <w:rsid w:val="009074A7"/>
    <w:rsid w:val="00910A21"/>
    <w:rsid w:val="0091255D"/>
    <w:rsid w:val="0091472C"/>
    <w:rsid w:val="0092463C"/>
    <w:rsid w:val="009271FB"/>
    <w:rsid w:val="00930ACA"/>
    <w:rsid w:val="00931670"/>
    <w:rsid w:val="00935D62"/>
    <w:rsid w:val="0094036B"/>
    <w:rsid w:val="00940FB2"/>
    <w:rsid w:val="009425ED"/>
    <w:rsid w:val="00946989"/>
    <w:rsid w:val="009508FB"/>
    <w:rsid w:val="00953947"/>
    <w:rsid w:val="00953CE3"/>
    <w:rsid w:val="0095444B"/>
    <w:rsid w:val="00956103"/>
    <w:rsid w:val="009572BA"/>
    <w:rsid w:val="009670ED"/>
    <w:rsid w:val="0096746F"/>
    <w:rsid w:val="00970316"/>
    <w:rsid w:val="009703E9"/>
    <w:rsid w:val="00973D6A"/>
    <w:rsid w:val="0097496F"/>
    <w:rsid w:val="00982F53"/>
    <w:rsid w:val="00983AE5"/>
    <w:rsid w:val="0098430E"/>
    <w:rsid w:val="00985359"/>
    <w:rsid w:val="00987523"/>
    <w:rsid w:val="00990A4C"/>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F2901"/>
    <w:rsid w:val="009F48C5"/>
    <w:rsid w:val="009F593D"/>
    <w:rsid w:val="009F6011"/>
    <w:rsid w:val="00A0185B"/>
    <w:rsid w:val="00A041B0"/>
    <w:rsid w:val="00A0438F"/>
    <w:rsid w:val="00A061E8"/>
    <w:rsid w:val="00A106B2"/>
    <w:rsid w:val="00A10B2B"/>
    <w:rsid w:val="00A16697"/>
    <w:rsid w:val="00A174C9"/>
    <w:rsid w:val="00A17F45"/>
    <w:rsid w:val="00A208A1"/>
    <w:rsid w:val="00A23429"/>
    <w:rsid w:val="00A24408"/>
    <w:rsid w:val="00A32359"/>
    <w:rsid w:val="00A3332C"/>
    <w:rsid w:val="00A33958"/>
    <w:rsid w:val="00A3430E"/>
    <w:rsid w:val="00A40659"/>
    <w:rsid w:val="00A41E2B"/>
    <w:rsid w:val="00A43E93"/>
    <w:rsid w:val="00A4443B"/>
    <w:rsid w:val="00A44CE5"/>
    <w:rsid w:val="00A44FC8"/>
    <w:rsid w:val="00A476C9"/>
    <w:rsid w:val="00A52703"/>
    <w:rsid w:val="00A56DF7"/>
    <w:rsid w:val="00A57634"/>
    <w:rsid w:val="00A579FE"/>
    <w:rsid w:val="00A57EDC"/>
    <w:rsid w:val="00A62846"/>
    <w:rsid w:val="00A62A5D"/>
    <w:rsid w:val="00A66857"/>
    <w:rsid w:val="00A66D27"/>
    <w:rsid w:val="00A70AD4"/>
    <w:rsid w:val="00A71AE6"/>
    <w:rsid w:val="00A7455E"/>
    <w:rsid w:val="00A84398"/>
    <w:rsid w:val="00A843C8"/>
    <w:rsid w:val="00A949CA"/>
    <w:rsid w:val="00AA22F8"/>
    <w:rsid w:val="00AA30E8"/>
    <w:rsid w:val="00AA538F"/>
    <w:rsid w:val="00AB0506"/>
    <w:rsid w:val="00AB1EC6"/>
    <w:rsid w:val="00AB2FE6"/>
    <w:rsid w:val="00AB3AE8"/>
    <w:rsid w:val="00AB3B2C"/>
    <w:rsid w:val="00AB4171"/>
    <w:rsid w:val="00AB575C"/>
    <w:rsid w:val="00AB5E87"/>
    <w:rsid w:val="00AC4AF7"/>
    <w:rsid w:val="00AC660A"/>
    <w:rsid w:val="00AD59F1"/>
    <w:rsid w:val="00AD5F55"/>
    <w:rsid w:val="00AD782B"/>
    <w:rsid w:val="00AE0F1E"/>
    <w:rsid w:val="00AE4B10"/>
    <w:rsid w:val="00AE5A19"/>
    <w:rsid w:val="00AF49D4"/>
    <w:rsid w:val="00AF618D"/>
    <w:rsid w:val="00AF6842"/>
    <w:rsid w:val="00AF7C8F"/>
    <w:rsid w:val="00B03513"/>
    <w:rsid w:val="00B03834"/>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4136B"/>
    <w:rsid w:val="00B418A6"/>
    <w:rsid w:val="00B453FF"/>
    <w:rsid w:val="00B53B7E"/>
    <w:rsid w:val="00B57451"/>
    <w:rsid w:val="00B6040E"/>
    <w:rsid w:val="00B66C9B"/>
    <w:rsid w:val="00B71A82"/>
    <w:rsid w:val="00B75B79"/>
    <w:rsid w:val="00B80EDD"/>
    <w:rsid w:val="00B81131"/>
    <w:rsid w:val="00B828D6"/>
    <w:rsid w:val="00B87B88"/>
    <w:rsid w:val="00B92053"/>
    <w:rsid w:val="00B94734"/>
    <w:rsid w:val="00BA2BD3"/>
    <w:rsid w:val="00BA747D"/>
    <w:rsid w:val="00BB0436"/>
    <w:rsid w:val="00BB52AE"/>
    <w:rsid w:val="00BB5F60"/>
    <w:rsid w:val="00BB63F9"/>
    <w:rsid w:val="00BB752A"/>
    <w:rsid w:val="00BD5A79"/>
    <w:rsid w:val="00BE11D3"/>
    <w:rsid w:val="00BE6DD2"/>
    <w:rsid w:val="00BE77A5"/>
    <w:rsid w:val="00BF37AC"/>
    <w:rsid w:val="00BF3BF7"/>
    <w:rsid w:val="00BF6466"/>
    <w:rsid w:val="00C00379"/>
    <w:rsid w:val="00C0094F"/>
    <w:rsid w:val="00C010EE"/>
    <w:rsid w:val="00C02450"/>
    <w:rsid w:val="00C02E84"/>
    <w:rsid w:val="00C17525"/>
    <w:rsid w:val="00C252D8"/>
    <w:rsid w:val="00C310EF"/>
    <w:rsid w:val="00C31907"/>
    <w:rsid w:val="00C31A8D"/>
    <w:rsid w:val="00C323C7"/>
    <w:rsid w:val="00C3451B"/>
    <w:rsid w:val="00C36497"/>
    <w:rsid w:val="00C3703C"/>
    <w:rsid w:val="00C37E63"/>
    <w:rsid w:val="00C40593"/>
    <w:rsid w:val="00C41DA0"/>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C67"/>
    <w:rsid w:val="00C85987"/>
    <w:rsid w:val="00C87F7B"/>
    <w:rsid w:val="00C9030A"/>
    <w:rsid w:val="00C90695"/>
    <w:rsid w:val="00C91005"/>
    <w:rsid w:val="00C930CE"/>
    <w:rsid w:val="00C943ED"/>
    <w:rsid w:val="00C94E80"/>
    <w:rsid w:val="00C95235"/>
    <w:rsid w:val="00C97A15"/>
    <w:rsid w:val="00CA1EEF"/>
    <w:rsid w:val="00CA4511"/>
    <w:rsid w:val="00CB5317"/>
    <w:rsid w:val="00CB7481"/>
    <w:rsid w:val="00CC02BF"/>
    <w:rsid w:val="00CC2093"/>
    <w:rsid w:val="00CC48AA"/>
    <w:rsid w:val="00CD1DC3"/>
    <w:rsid w:val="00CE3620"/>
    <w:rsid w:val="00CE394B"/>
    <w:rsid w:val="00CE3CDA"/>
    <w:rsid w:val="00CE4204"/>
    <w:rsid w:val="00CE6FD3"/>
    <w:rsid w:val="00CF15E2"/>
    <w:rsid w:val="00CF1B7F"/>
    <w:rsid w:val="00CF34ED"/>
    <w:rsid w:val="00CF415B"/>
    <w:rsid w:val="00CF426B"/>
    <w:rsid w:val="00CF4F23"/>
    <w:rsid w:val="00CF7E54"/>
    <w:rsid w:val="00D00AF8"/>
    <w:rsid w:val="00D06D3C"/>
    <w:rsid w:val="00D13FE6"/>
    <w:rsid w:val="00D16D3D"/>
    <w:rsid w:val="00D242A3"/>
    <w:rsid w:val="00D259B8"/>
    <w:rsid w:val="00D262E2"/>
    <w:rsid w:val="00D26A6A"/>
    <w:rsid w:val="00D3321B"/>
    <w:rsid w:val="00D33380"/>
    <w:rsid w:val="00D33942"/>
    <w:rsid w:val="00D360DD"/>
    <w:rsid w:val="00D42246"/>
    <w:rsid w:val="00D44263"/>
    <w:rsid w:val="00D45106"/>
    <w:rsid w:val="00D46EFF"/>
    <w:rsid w:val="00D65668"/>
    <w:rsid w:val="00D66104"/>
    <w:rsid w:val="00D725CE"/>
    <w:rsid w:val="00D738E8"/>
    <w:rsid w:val="00D762A1"/>
    <w:rsid w:val="00D768C0"/>
    <w:rsid w:val="00D806CE"/>
    <w:rsid w:val="00D807B6"/>
    <w:rsid w:val="00D80869"/>
    <w:rsid w:val="00D8641E"/>
    <w:rsid w:val="00D90B63"/>
    <w:rsid w:val="00D9365A"/>
    <w:rsid w:val="00D938E9"/>
    <w:rsid w:val="00D93F26"/>
    <w:rsid w:val="00DA1976"/>
    <w:rsid w:val="00DA4C95"/>
    <w:rsid w:val="00DA4CFF"/>
    <w:rsid w:val="00DA4E19"/>
    <w:rsid w:val="00DA67D2"/>
    <w:rsid w:val="00DB1100"/>
    <w:rsid w:val="00DB259B"/>
    <w:rsid w:val="00DB4896"/>
    <w:rsid w:val="00DB52C6"/>
    <w:rsid w:val="00DC2E90"/>
    <w:rsid w:val="00DC549B"/>
    <w:rsid w:val="00DD213F"/>
    <w:rsid w:val="00DD61EF"/>
    <w:rsid w:val="00DF0429"/>
    <w:rsid w:val="00DF129F"/>
    <w:rsid w:val="00DF54AC"/>
    <w:rsid w:val="00E00482"/>
    <w:rsid w:val="00E01233"/>
    <w:rsid w:val="00E03AED"/>
    <w:rsid w:val="00E06B9F"/>
    <w:rsid w:val="00E17B78"/>
    <w:rsid w:val="00E22106"/>
    <w:rsid w:val="00E22248"/>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26B1"/>
    <w:rsid w:val="00E549EF"/>
    <w:rsid w:val="00E55A27"/>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B277C"/>
    <w:rsid w:val="00EB3C02"/>
    <w:rsid w:val="00EB6F9F"/>
    <w:rsid w:val="00EB72BA"/>
    <w:rsid w:val="00EC1D15"/>
    <w:rsid w:val="00EC324E"/>
    <w:rsid w:val="00EC351A"/>
    <w:rsid w:val="00ED0C7B"/>
    <w:rsid w:val="00ED65E3"/>
    <w:rsid w:val="00ED767D"/>
    <w:rsid w:val="00EE37E9"/>
    <w:rsid w:val="00EF09B6"/>
    <w:rsid w:val="00EF1CFE"/>
    <w:rsid w:val="00EF1FF9"/>
    <w:rsid w:val="00EF7DCE"/>
    <w:rsid w:val="00F013FF"/>
    <w:rsid w:val="00F0373C"/>
    <w:rsid w:val="00F063E6"/>
    <w:rsid w:val="00F071C3"/>
    <w:rsid w:val="00F12960"/>
    <w:rsid w:val="00F12FCD"/>
    <w:rsid w:val="00F14030"/>
    <w:rsid w:val="00F1566F"/>
    <w:rsid w:val="00F15ABC"/>
    <w:rsid w:val="00F17971"/>
    <w:rsid w:val="00F24015"/>
    <w:rsid w:val="00F30E18"/>
    <w:rsid w:val="00F3129A"/>
    <w:rsid w:val="00F323EC"/>
    <w:rsid w:val="00F35258"/>
    <w:rsid w:val="00F35BD8"/>
    <w:rsid w:val="00F4295B"/>
    <w:rsid w:val="00F42D2A"/>
    <w:rsid w:val="00F43113"/>
    <w:rsid w:val="00F4667A"/>
    <w:rsid w:val="00F475B6"/>
    <w:rsid w:val="00F51192"/>
    <w:rsid w:val="00F53D24"/>
    <w:rsid w:val="00F55F38"/>
    <w:rsid w:val="00F630B8"/>
    <w:rsid w:val="00F64BDC"/>
    <w:rsid w:val="00F666B2"/>
    <w:rsid w:val="00F673FA"/>
    <w:rsid w:val="00F728AA"/>
    <w:rsid w:val="00F733B7"/>
    <w:rsid w:val="00F804E1"/>
    <w:rsid w:val="00F820DD"/>
    <w:rsid w:val="00F833F4"/>
    <w:rsid w:val="00F83E69"/>
    <w:rsid w:val="00F84039"/>
    <w:rsid w:val="00F84BFB"/>
    <w:rsid w:val="00F96504"/>
    <w:rsid w:val="00F96DBB"/>
    <w:rsid w:val="00FA1DBB"/>
    <w:rsid w:val="00FA2A30"/>
    <w:rsid w:val="00FA3F4B"/>
    <w:rsid w:val="00FA7266"/>
    <w:rsid w:val="00FA7B1E"/>
    <w:rsid w:val="00FB007C"/>
    <w:rsid w:val="00FB1123"/>
    <w:rsid w:val="00FB1D91"/>
    <w:rsid w:val="00FB6905"/>
    <w:rsid w:val="00FC00DC"/>
    <w:rsid w:val="00FC787D"/>
    <w:rsid w:val="00FD0404"/>
    <w:rsid w:val="00FD1FC9"/>
    <w:rsid w:val="00FE2ED8"/>
    <w:rsid w:val="00FE72C6"/>
    <w:rsid w:val="00FF0F15"/>
    <w:rsid w:val="00FF2BA5"/>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644153C"/>
  <w15:docId w15:val="{D28FE92C-8787-4ABE-88C5-C5C02EDB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ock@brandmedia.c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FD54-0779-46BB-AE95-BFD19D8A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lastModifiedBy>Daniel Naschberger</cp:lastModifiedBy>
  <cp:revision>25</cp:revision>
  <cp:lastPrinted>2018-03-14T14:22:00Z</cp:lastPrinted>
  <dcterms:created xsi:type="dcterms:W3CDTF">2018-06-14T07:45:00Z</dcterms:created>
  <dcterms:modified xsi:type="dcterms:W3CDTF">2018-06-15T10:04:00Z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